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603C5A">
        <w:tc>
          <w:tcPr>
            <w:tcW w:w="1368" w:type="dxa"/>
          </w:tcPr>
          <w:p w:rsidR="00F63621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03C5A">
        <w:tc>
          <w:tcPr>
            <w:tcW w:w="1368" w:type="dxa"/>
          </w:tcPr>
          <w:p w:rsidR="009923C1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603C5A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603C5A">
              <w:rPr>
                <w:b/>
                <w:sz w:val="20"/>
                <w:szCs w:val="20"/>
              </w:rPr>
              <w:t xml:space="preserve"> T</w:t>
            </w:r>
            <w:r w:rsidRPr="00603C5A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603C5A" w:rsidRDefault="00F63621" w:rsidP="00F63621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03C5A" w:rsidRDefault="00547B77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="00DF6F1B" w:rsidRPr="00603C5A">
              <w:rPr>
                <w:b/>
                <w:sz w:val="20"/>
                <w:szCs w:val="20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603C5A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603C5A" w:rsidRDefault="00F12277" w:rsidP="0094600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603C5A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</w:t>
            </w:r>
            <w:r w:rsidR="00F12277" w:rsidRPr="00603C5A">
              <w:rPr>
                <w:b/>
                <w:sz w:val="20"/>
                <w:szCs w:val="20"/>
              </w:rPr>
              <w:t>he following are valid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at the OP department or ED of this VAMC</w:t>
            </w:r>
          </w:p>
          <w:p w:rsidR="00F12277" w:rsidRPr="00603C5A" w:rsidRDefault="00F12277" w:rsidP="00F1227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And</w:t>
            </w:r>
          </w:p>
          <w:p w:rsidR="00F12277" w:rsidRPr="00603C5A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603C5A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603C5A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603C5A" w:rsidRDefault="00FB2454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9429C5" w:rsidP="007C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Numerator</w:t>
            </w:r>
          </w:p>
        </w:tc>
      </w:tr>
      <w:tr w:rsidR="005E4B48" w:rsidRPr="00603C5A">
        <w:tc>
          <w:tcPr>
            <w:tcW w:w="1368" w:type="dxa"/>
          </w:tcPr>
          <w:p w:rsidR="005E4B48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603C5A" w:rsidRDefault="00FB2454" w:rsidP="00FB2454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="00DF6F1B" w:rsidRPr="00603C5A">
              <w:rPr>
                <w:b/>
                <w:sz w:val="20"/>
                <w:szCs w:val="20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603C5A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5E4B48" w:rsidRPr="00603C5A" w:rsidRDefault="00FB245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FB2454" w:rsidRPr="00603C5A" w:rsidRDefault="00FB245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603C5A" w:rsidRDefault="001E097E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</w:t>
            </w:r>
            <w:r w:rsidR="00FB2454" w:rsidRPr="00603C5A">
              <w:rPr>
                <w:b/>
                <w:sz w:val="20"/>
                <w:szCs w:val="20"/>
              </w:rPr>
              <w:t>he date</w:t>
            </w:r>
            <w:r w:rsidRPr="00603C5A">
              <w:rPr>
                <w:b/>
                <w:sz w:val="20"/>
                <w:szCs w:val="20"/>
              </w:rPr>
              <w:t xml:space="preserve"> the patient departed the ED </w:t>
            </w:r>
            <w:r w:rsidR="00FB2454" w:rsidRPr="00603C5A">
              <w:rPr>
                <w:b/>
                <w:sz w:val="20"/>
                <w:szCs w:val="20"/>
              </w:rPr>
              <w:t xml:space="preserve"> unable to be determined</w:t>
            </w:r>
          </w:p>
          <w:p w:rsidR="00FB2454" w:rsidRPr="00603C5A" w:rsidRDefault="001E097E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</w:t>
            </w:r>
            <w:r w:rsidR="00FB2454" w:rsidRPr="00603C5A">
              <w:rPr>
                <w:b/>
                <w:sz w:val="20"/>
                <w:szCs w:val="20"/>
              </w:rPr>
              <w:t>he time</w:t>
            </w:r>
            <w:r w:rsidRPr="00603C5A">
              <w:rPr>
                <w:b/>
                <w:sz w:val="20"/>
                <w:szCs w:val="20"/>
              </w:rPr>
              <w:t xml:space="preserve"> the patient departed the ED </w:t>
            </w:r>
            <w:r w:rsidR="00FB2454" w:rsidRPr="00603C5A">
              <w:rPr>
                <w:b/>
                <w:sz w:val="20"/>
                <w:szCs w:val="20"/>
              </w:rPr>
              <w:t xml:space="preserve"> unable to be determined</w:t>
            </w:r>
          </w:p>
          <w:p w:rsidR="00FB2454" w:rsidRPr="00603C5A" w:rsidRDefault="001E097E" w:rsidP="001E097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603C5A" w:rsidRDefault="001E097E" w:rsidP="00ED2BD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Score=median </w:t>
            </w:r>
            <w:r w:rsidR="00182B75" w:rsidRPr="00603C5A">
              <w:rPr>
                <w:b/>
                <w:sz w:val="20"/>
                <w:szCs w:val="20"/>
              </w:rPr>
              <w:t xml:space="preserve">time </w:t>
            </w:r>
            <w:r w:rsidRPr="00603C5A">
              <w:rPr>
                <w:b/>
                <w:sz w:val="20"/>
                <w:szCs w:val="20"/>
              </w:rPr>
              <w:t>for all records in the</w:t>
            </w:r>
            <w:r w:rsidR="00795D0D" w:rsidRPr="00603C5A">
              <w:rPr>
                <w:b/>
                <w:sz w:val="20"/>
                <w:szCs w:val="20"/>
              </w:rPr>
              <w:t xml:space="preserve"> denominator</w:t>
            </w:r>
            <w:r w:rsidRPr="00603C5A">
              <w:rPr>
                <w:b/>
                <w:sz w:val="20"/>
                <w:szCs w:val="20"/>
              </w:rPr>
              <w:t xml:space="preserve"> </w:t>
            </w:r>
            <w:r w:rsidR="00182B75" w:rsidRPr="00603C5A">
              <w:rPr>
                <w:b/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603C5A" w:rsidRDefault="001C227B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03C5A">
        <w:tc>
          <w:tcPr>
            <w:tcW w:w="1368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603C5A" w:rsidRDefault="001C227B" w:rsidP="001C227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</w:t>
            </w:r>
            <w:r w:rsidR="00DF6F1B" w:rsidRPr="00603C5A">
              <w:rPr>
                <w:b/>
                <w:sz w:val="20"/>
                <w:szCs w:val="20"/>
              </w:rPr>
              <w:t>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fibrinolytics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603C5A" w:rsidRDefault="00ED2BD5" w:rsidP="00ED2BD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Score=median time for all records in the</w:t>
            </w:r>
            <w:r w:rsidR="00795D0D" w:rsidRPr="00603C5A">
              <w:rPr>
                <w:b/>
                <w:sz w:val="20"/>
                <w:szCs w:val="20"/>
              </w:rPr>
              <w:t xml:space="preserve"> denominator</w:t>
            </w:r>
            <w:r w:rsidRPr="00603C5A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603C5A" w:rsidRDefault="00795D0D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03C5A">
        <w:tc>
          <w:tcPr>
            <w:tcW w:w="1368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603C5A" w:rsidRDefault="00795D0D" w:rsidP="00795D0D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="00DF6F1B" w:rsidRPr="00603C5A">
              <w:rPr>
                <w:b/>
                <w:sz w:val="20"/>
                <w:szCs w:val="20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603C5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603C5A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603C5A" w:rsidRDefault="00795D0D" w:rsidP="00795D0D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603C5A" w:rsidRDefault="008F0C62"/>
    <w:p w:rsidR="008F0C62" w:rsidRPr="00603C5A" w:rsidRDefault="008F0C62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603C5A">
        <w:tc>
          <w:tcPr>
            <w:tcW w:w="1368" w:type="dxa"/>
          </w:tcPr>
          <w:p w:rsidR="008F0C62" w:rsidRPr="00603C5A" w:rsidRDefault="009429C5" w:rsidP="00231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8F0C62" w:rsidRPr="00603C5A" w:rsidRDefault="008F0C62" w:rsidP="0023117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603C5A" w:rsidRDefault="008F0C62" w:rsidP="0023117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603C5A" w:rsidRDefault="008F0C62" w:rsidP="0023117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03C5A">
        <w:tc>
          <w:tcPr>
            <w:tcW w:w="1368" w:type="dxa"/>
          </w:tcPr>
          <w:p w:rsidR="009923C1" w:rsidRPr="00603C5A" w:rsidRDefault="003D58B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603C5A" w:rsidRDefault="003D58B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603C5A" w:rsidRDefault="00CB3072" w:rsidP="00CB307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</w:t>
            </w:r>
            <w:r w:rsidR="00A6558F" w:rsidRPr="00603C5A">
              <w:rPr>
                <w:b/>
                <w:sz w:val="20"/>
                <w:szCs w:val="20"/>
              </w:rPr>
              <w:t xml:space="preserve"> is </w:t>
            </w:r>
            <w:r w:rsidR="00A6558F" w:rsidRPr="00603C5A">
              <w:rPr>
                <w:b/>
                <w:sz w:val="20"/>
                <w:szCs w:val="20"/>
                <w:u w:val="single"/>
              </w:rPr>
              <w:t>not</w:t>
            </w:r>
            <w:r w:rsidR="00A6558F" w:rsidRPr="00603C5A">
              <w:rPr>
                <w:b/>
                <w:sz w:val="20"/>
                <w:szCs w:val="20"/>
              </w:rPr>
              <w:t xml:space="preserve"> on Table 1.1 or Table 1.1a and</w:t>
            </w:r>
            <w:r w:rsidRPr="00603C5A">
              <w:rPr>
                <w:b/>
                <w:sz w:val="20"/>
                <w:szCs w:val="20"/>
              </w:rPr>
              <w:t xml:space="preserve"> a secondary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1.1a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603C5A" w:rsidRDefault="005A3E34" w:rsidP="005A3E34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Score is the median time </w:t>
            </w:r>
            <w:r w:rsidR="00646A02" w:rsidRPr="00603C5A">
              <w:rPr>
                <w:b/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603C5A" w:rsidRDefault="00CC147D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9429C5" w:rsidP="007C7F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603C5A">
        <w:tc>
          <w:tcPr>
            <w:tcW w:w="1368" w:type="dxa"/>
          </w:tcPr>
          <w:p w:rsidR="00827C53" w:rsidRPr="00603C5A" w:rsidRDefault="002A105E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603C5A" w:rsidRDefault="007E0CC1" w:rsidP="0078543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603C5A" w:rsidRDefault="00C716D3" w:rsidP="00C716D3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C716D3" w:rsidRPr="00603C5A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3B6162" w:rsidRPr="00603C5A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C716D3" w:rsidRPr="00603C5A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A6558F" w:rsidRPr="00603C5A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Date the patient departed from </w:t>
            </w:r>
            <w:r w:rsidR="00A6558F" w:rsidRPr="00603C5A">
              <w:rPr>
                <w:b/>
                <w:sz w:val="20"/>
                <w:szCs w:val="20"/>
              </w:rPr>
              <w:t xml:space="preserve"> </w:t>
            </w:r>
            <w:r w:rsidRPr="00603C5A">
              <w:rPr>
                <w:b/>
                <w:sz w:val="20"/>
                <w:szCs w:val="20"/>
              </w:rPr>
              <w:t>t</w:t>
            </w:r>
            <w:r w:rsidR="00A6558F" w:rsidRPr="00603C5A">
              <w:rPr>
                <w:b/>
                <w:sz w:val="20"/>
                <w:szCs w:val="20"/>
              </w:rPr>
              <w:t>he ED is not valid</w:t>
            </w:r>
          </w:p>
          <w:p w:rsidR="00A6558F" w:rsidRPr="00603C5A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603C5A" w:rsidRDefault="0068505B" w:rsidP="00CC147D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</w:t>
            </w:r>
            <w:r w:rsidR="00F24042" w:rsidRPr="00603C5A">
              <w:rPr>
                <w:b/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603C5A">
        <w:tc>
          <w:tcPr>
            <w:tcW w:w="1368" w:type="dxa"/>
          </w:tcPr>
          <w:p w:rsidR="00657858" w:rsidRPr="00603C5A" w:rsidRDefault="00EA5DA6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603C5A" w:rsidRDefault="00657858">
            <w:pPr>
              <w:rPr>
                <w:b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603C5A" w:rsidRDefault="00F24042" w:rsidP="00F2404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</w:t>
            </w:r>
            <w:r w:rsidR="008B7A23">
              <w:rPr>
                <w:b/>
                <w:sz w:val="20"/>
                <w:szCs w:val="20"/>
              </w:rPr>
              <w:t xml:space="preserve"> </w:t>
            </w:r>
            <w:r w:rsidR="008B7A23" w:rsidRPr="008B7A23">
              <w:rPr>
                <w:b/>
                <w:sz w:val="20"/>
                <w:szCs w:val="20"/>
                <w:highlight w:val="green"/>
              </w:rPr>
              <w:t>non-VA acute inpatient care or a VA or DOD hospital</w:t>
            </w:r>
            <w:r w:rsidR="008B7A23">
              <w:rPr>
                <w:b/>
                <w:sz w:val="20"/>
                <w:szCs w:val="20"/>
              </w:rPr>
              <w:t xml:space="preserve">; </w:t>
            </w:r>
            <w:r w:rsidRPr="00603C5A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603C5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03C5A" w:rsidRDefault="00F24042" w:rsidP="00F2404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603C5A">
        <w:tc>
          <w:tcPr>
            <w:tcW w:w="1368" w:type="dxa"/>
          </w:tcPr>
          <w:p w:rsidR="00657858" w:rsidRPr="00603C5A" w:rsidRDefault="00EA5DA6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603C5A" w:rsidRDefault="00657858">
            <w:pPr>
              <w:rPr>
                <w:b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Patients-Psych</w:t>
            </w:r>
            <w:bookmarkStart w:id="0" w:name="_GoBack"/>
            <w:bookmarkEnd w:id="0"/>
            <w:r w:rsidRPr="00603C5A">
              <w:rPr>
                <w:b/>
                <w:sz w:val="20"/>
                <w:szCs w:val="20"/>
              </w:rPr>
              <w:t>iatric/Mental Health</w:t>
            </w:r>
          </w:p>
        </w:tc>
        <w:tc>
          <w:tcPr>
            <w:tcW w:w="4140" w:type="dxa"/>
          </w:tcPr>
          <w:p w:rsidR="001164F7" w:rsidRPr="00603C5A" w:rsidRDefault="001164F7" w:rsidP="001164F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without</w:t>
            </w:r>
            <w:r w:rsidRPr="00603C5A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603C5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603C5A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03C5A" w:rsidRDefault="001164F7" w:rsidP="001164F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603C5A" w:rsidRDefault="00895059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603C5A">
        <w:tc>
          <w:tcPr>
            <w:tcW w:w="1368" w:type="dxa"/>
          </w:tcPr>
          <w:p w:rsidR="00657858" w:rsidRPr="00603C5A" w:rsidRDefault="00EA5DA6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603C5A" w:rsidRDefault="00657858">
            <w:pPr>
              <w:rPr>
                <w:b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603C5A" w:rsidRDefault="00895059" w:rsidP="00895059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895059" w:rsidRPr="00603C5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895059" w:rsidRPr="00603C5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895059" w:rsidRPr="00603C5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895059" w:rsidRPr="00603C5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603C5A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03C5A" w:rsidRDefault="001164F7" w:rsidP="001164F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603C5A" w:rsidRDefault="0065785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603C5A" w:rsidRDefault="00657858" w:rsidP="0078543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603C5A" w:rsidRDefault="0009505B" w:rsidP="0009505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without</w:t>
            </w:r>
            <w:r w:rsidRPr="00603C5A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603C5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603C5A" w:rsidRDefault="0047518C" w:rsidP="0047518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603C5A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603C5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603C5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603C5A" w:rsidRDefault="0052031F" w:rsidP="0052031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B7A23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  <w:p w:rsidR="008C2BE5" w:rsidRPr="00C25743" w:rsidRDefault="00A137D7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6/24</w:t>
    </w:r>
    <w:r w:rsidR="00603C5A">
      <w:rPr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603C5A">
      <w:rPr>
        <w:b/>
      </w:rPr>
      <w:t>3</w:t>
    </w:r>
    <w:r w:rsidR="00B66139" w:rsidRPr="00577BCE">
      <w:rPr>
        <w:b/>
      </w:rPr>
      <w:t>QFY20</w:t>
    </w:r>
    <w:r w:rsidR="009B4764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1788"/>
    <w:rsid w:val="001D513D"/>
    <w:rsid w:val="001D6D57"/>
    <w:rsid w:val="001E0784"/>
    <w:rsid w:val="001E097E"/>
    <w:rsid w:val="001E2F89"/>
    <w:rsid w:val="00207753"/>
    <w:rsid w:val="00222458"/>
    <w:rsid w:val="00227E5F"/>
    <w:rsid w:val="00227F1D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4F9"/>
    <w:rsid w:val="009429C5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90F9-44DE-489D-B710-D8D39ADE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1532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2019-06-24T15:36:00Z</dcterms:created>
  <dcterms:modified xsi:type="dcterms:W3CDTF">2019-08-22T13:59:00Z</dcterms:modified>
</cp:coreProperties>
</file>