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0E085D" w:rsidRPr="00C3757D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C3757D">
              <w:rPr>
                <w:b/>
                <w:i/>
                <w:sz w:val="20"/>
                <w:szCs w:val="20"/>
              </w:rPr>
              <w:t>nts-Psychiatric/Mental Health  P</w:t>
            </w:r>
            <w:r w:rsidRPr="00C3757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Principal diagnosis code is </w:t>
            </w:r>
            <w:r w:rsidRPr="00C3757D">
              <w:rPr>
                <w:b/>
                <w:sz w:val="20"/>
                <w:szCs w:val="20"/>
                <w:u w:val="single"/>
              </w:rPr>
              <w:t>NOT</w:t>
            </w:r>
            <w:r w:rsidRPr="00C3757D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C3757D" w:rsidRDefault="00C92509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343A7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</w:t>
            </w:r>
            <w:r w:rsidR="00343A77" w:rsidRPr="00C3757D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C3757D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C3757D">
              <w:rPr>
                <w:b/>
                <w:i/>
                <w:sz w:val="20"/>
                <w:szCs w:val="20"/>
              </w:rPr>
              <w:t>ents-Psychiatric/Mental Health P</w:t>
            </w:r>
            <w:r w:rsidRPr="00C3757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Principal diagnosis code is </w:t>
            </w:r>
            <w:r w:rsidRPr="00C3757D">
              <w:rPr>
                <w:sz w:val="20"/>
                <w:szCs w:val="20"/>
                <w:u w:val="single"/>
              </w:rPr>
              <w:t>NOT</w:t>
            </w:r>
            <w:r w:rsidRPr="00C3757D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C3757D" w:rsidRDefault="00C92509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2E5AC6" w:rsidRPr="00C3757D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Principal</w:t>
            </w:r>
            <w:r w:rsidR="00CE13B3" w:rsidRPr="00C3757D">
              <w:rPr>
                <w:b/>
                <w:sz w:val="20"/>
                <w:szCs w:val="20"/>
              </w:rPr>
              <w:t xml:space="preserve"> or other</w:t>
            </w:r>
            <w:r w:rsidRPr="00C3757D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C3757D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There is</w:t>
            </w:r>
            <w:r w:rsidR="004626D4" w:rsidRPr="00C3757D">
              <w:rPr>
                <w:sz w:val="20"/>
                <w:szCs w:val="20"/>
              </w:rPr>
              <w:t xml:space="preserve"> d</w:t>
            </w:r>
            <w:r w:rsidRPr="00C3757D">
              <w:rPr>
                <w:sz w:val="20"/>
                <w:szCs w:val="20"/>
              </w:rPr>
              <w:t xml:space="preserve">ocumentation </w:t>
            </w:r>
            <w:r w:rsidR="004626D4" w:rsidRPr="00C3757D">
              <w:rPr>
                <w:sz w:val="20"/>
                <w:szCs w:val="20"/>
              </w:rPr>
              <w:t xml:space="preserve">the </w:t>
            </w:r>
            <w:r w:rsidRPr="00C3757D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C3757D">
              <w:rPr>
                <w:b/>
                <w:sz w:val="20"/>
                <w:szCs w:val="20"/>
              </w:rPr>
              <w:t xml:space="preserve"> (discharge dates &gt;=10/1/16 and &lt;=3/31/17)</w:t>
            </w: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C3757D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C3757D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C3757D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C3757D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C3757D" w:rsidRDefault="002E5AC6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DC54A6" w:rsidRPr="00C3757D" w:rsidRDefault="00DC54A6">
      <w:pPr>
        <w:rPr>
          <w:b/>
          <w:sz w:val="20"/>
          <w:szCs w:val="20"/>
        </w:rPr>
      </w:pPr>
    </w:p>
    <w:p w:rsidR="000E3372" w:rsidRPr="00C3757D" w:rsidRDefault="000E3372">
      <w:pPr>
        <w:rPr>
          <w:b/>
          <w:sz w:val="20"/>
          <w:szCs w:val="20"/>
        </w:rPr>
      </w:pPr>
    </w:p>
    <w:p w:rsidR="00947C90" w:rsidRPr="00C3757D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BC7D9B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7A2881" w:rsidRPr="00C3757D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7A2881" w:rsidRPr="00C3757D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C3757D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C3757D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C3757D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C3757D">
              <w:rPr>
                <w:b/>
                <w:sz w:val="20"/>
                <w:szCs w:val="20"/>
              </w:rPr>
              <w:t xml:space="preserve">o use status within the first </w:t>
            </w:r>
            <w:r w:rsidRPr="00C3757D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C3757D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(tobstatus2 =1, 2, or 3)</w:t>
            </w:r>
          </w:p>
          <w:p w:rsidR="00BC7D9B" w:rsidRPr="00C3757D" w:rsidRDefault="00834767" w:rsidP="0083476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BC7D9B" w:rsidRPr="00C3757D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5020F4" w:rsidRPr="00C3757D" w:rsidRDefault="00D80E01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5020F4" w:rsidRPr="00C3757D">
              <w:rPr>
                <w:b/>
                <w:sz w:val="20"/>
                <w:szCs w:val="20"/>
              </w:rPr>
              <w:t xml:space="preserve"> days</w:t>
            </w:r>
            <w:r w:rsidR="007A2881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C3757D" w:rsidRDefault="0081583D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C3757D">
              <w:rPr>
                <w:b/>
                <w:sz w:val="20"/>
                <w:szCs w:val="20"/>
              </w:rPr>
              <w:t xml:space="preserve"> 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C3757D" w:rsidRDefault="005020F4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C3757D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C3757D">
              <w:rPr>
                <w:b/>
                <w:sz w:val="20"/>
                <w:szCs w:val="20"/>
              </w:rPr>
              <w:t xml:space="preserve">any form of </w:t>
            </w:r>
            <w:r w:rsidRPr="00C3757D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C3757D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refused</w:t>
            </w:r>
            <w:r w:rsidR="00FD1D62" w:rsidRPr="00C3757D">
              <w:rPr>
                <w:b/>
                <w:sz w:val="20"/>
                <w:szCs w:val="20"/>
              </w:rPr>
              <w:t xml:space="preserve"> the </w:t>
            </w:r>
            <w:r w:rsidRPr="00C3757D">
              <w:rPr>
                <w:b/>
                <w:sz w:val="20"/>
                <w:szCs w:val="20"/>
              </w:rPr>
              <w:t>tobacco use scree</w:t>
            </w:r>
            <w:r w:rsidR="00FD1D62" w:rsidRPr="00C3757D">
              <w:rPr>
                <w:b/>
                <w:sz w:val="20"/>
                <w:szCs w:val="20"/>
              </w:rPr>
              <w:t>n</w:t>
            </w:r>
          </w:p>
          <w:p w:rsidR="00B071F7" w:rsidRPr="00C3757D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C3757D">
              <w:rPr>
                <w:b/>
                <w:sz w:val="20"/>
                <w:szCs w:val="20"/>
              </w:rPr>
              <w:t xml:space="preserve">within the </w:t>
            </w:r>
            <w:r w:rsidR="004417D9" w:rsidRPr="00C3757D">
              <w:rPr>
                <w:b/>
                <w:sz w:val="20"/>
                <w:szCs w:val="20"/>
              </w:rPr>
              <w:t>first day</w:t>
            </w:r>
            <w:r w:rsidR="005701AF" w:rsidRPr="00C3757D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C3757D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C3757D" w:rsidRDefault="008427FB" w:rsidP="008427FB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C3757D" w:rsidRDefault="008427FB" w:rsidP="008427FB">
            <w:pPr>
              <w:ind w:left="63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And</w:t>
            </w:r>
          </w:p>
          <w:p w:rsidR="008427FB" w:rsidRPr="00C3757D" w:rsidRDefault="008427FB" w:rsidP="008427FB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</w:p>
          <w:p w:rsidR="008427FB" w:rsidRPr="00C3757D" w:rsidRDefault="008427FB" w:rsidP="008427FB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C3757D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C3757D" w:rsidRDefault="005111D5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C02FD4" w:rsidRPr="00C3757D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C02FD4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BC7D9B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C3757D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FD1C71" w:rsidRPr="00C3757D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FD1C71" w:rsidRPr="00C3757D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C3757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C3757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C3757D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C3757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C3757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were not screened for tob</w:t>
            </w:r>
            <w:r w:rsidR="004417D9" w:rsidRPr="00C3757D">
              <w:rPr>
                <w:b/>
                <w:sz w:val="20"/>
                <w:szCs w:val="20"/>
              </w:rPr>
              <w:t>acco use within the first day</w:t>
            </w:r>
            <w:r w:rsidRPr="00C3757D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C3757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C3757D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C3757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C3757D">
              <w:rPr>
                <w:b/>
                <w:sz w:val="20"/>
                <w:szCs w:val="20"/>
              </w:rPr>
              <w:t>t</w:t>
            </w:r>
            <w:r w:rsidRPr="00C3757D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C3757D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used tobacco in the past 30 days</w:t>
            </w:r>
            <w:r w:rsidR="00CA423A" w:rsidRPr="00C3757D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C3757D">
              <w:rPr>
                <w:b/>
                <w:sz w:val="20"/>
                <w:szCs w:val="20"/>
              </w:rPr>
              <w:t xml:space="preserve"> was</w:t>
            </w:r>
            <w:r w:rsidR="00CA423A" w:rsidRPr="00C3757D">
              <w:rPr>
                <w:b/>
                <w:sz w:val="20"/>
                <w:szCs w:val="20"/>
              </w:rPr>
              <w:t xml:space="preserve"> made or refused </w:t>
            </w:r>
            <w:r w:rsidRPr="00C3757D">
              <w:rPr>
                <w:b/>
                <w:sz w:val="20"/>
                <w:szCs w:val="20"/>
              </w:rPr>
              <w:t xml:space="preserve"> but</w:t>
            </w:r>
            <w:r w:rsidR="00002933" w:rsidRPr="00C3757D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C3757D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C3757D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C3757D" w:rsidRDefault="00416BD5" w:rsidP="00416BD5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416BD5" w:rsidRPr="00C3757D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416BD5" w:rsidRPr="00C3757D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416BD5" w:rsidRPr="00C3757D" w:rsidRDefault="00416BD5" w:rsidP="00416BD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OR</w:t>
            </w:r>
          </w:p>
          <w:p w:rsidR="00416BD5" w:rsidRPr="00C3757D" w:rsidRDefault="00416BD5" w:rsidP="00416BD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416BD5" w:rsidRPr="00C3757D" w:rsidRDefault="00416BD5" w:rsidP="00416BD5">
            <w:pPr>
              <w:ind w:left="63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And</w:t>
            </w:r>
          </w:p>
          <w:p w:rsidR="00416BD5" w:rsidRPr="00C3757D" w:rsidRDefault="00416BD5" w:rsidP="00416BD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C3757D" w:rsidRDefault="00416BD5" w:rsidP="00416BD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          OR</w:t>
            </w:r>
          </w:p>
          <w:p w:rsidR="00663FD0" w:rsidRPr="00C3757D" w:rsidRDefault="00416BD5" w:rsidP="00416BD5">
            <w:pPr>
              <w:numPr>
                <w:ilvl w:val="3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C3757D" w:rsidRDefault="00F57B86">
      <w:r w:rsidRPr="00C3757D">
        <w:br w:type="page"/>
      </w:r>
    </w:p>
    <w:p w:rsidR="00B31ABC" w:rsidRPr="00C3757D" w:rsidRDefault="00B31ABC"/>
    <w:p w:rsidR="00DC54A6" w:rsidRPr="00C3757D" w:rsidRDefault="00DC54A6">
      <w:pPr>
        <w:rPr>
          <w:b/>
          <w:sz w:val="20"/>
          <w:szCs w:val="20"/>
        </w:rPr>
      </w:pPr>
    </w:p>
    <w:p w:rsidR="00DC54A6" w:rsidRPr="00C3757D" w:rsidRDefault="00DC54A6">
      <w:pPr>
        <w:rPr>
          <w:b/>
          <w:sz w:val="20"/>
          <w:szCs w:val="20"/>
        </w:rPr>
      </w:pPr>
    </w:p>
    <w:p w:rsidR="00DC54A6" w:rsidRPr="00C3757D" w:rsidRDefault="00DC54A6">
      <w:pPr>
        <w:rPr>
          <w:b/>
          <w:sz w:val="20"/>
          <w:szCs w:val="20"/>
        </w:rPr>
      </w:pPr>
    </w:p>
    <w:p w:rsidR="00DF5EAC" w:rsidRPr="00C3757D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C3757D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D170B3" w:rsidRPr="00C3757D" w:rsidRDefault="00F32397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Discharge date is &lt;01/01/2017</w:t>
            </w:r>
          </w:p>
          <w:p w:rsidR="00936C75" w:rsidRPr="00C3757D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</w:t>
            </w:r>
            <w:r w:rsidR="002E39AD" w:rsidRPr="00C3757D">
              <w:rPr>
                <w:b/>
                <w:sz w:val="20"/>
                <w:szCs w:val="20"/>
              </w:rPr>
              <w:t xml:space="preserve">=1 day </w:t>
            </w:r>
            <w:r w:rsidR="00936C75" w:rsidRPr="00C3757D">
              <w:rPr>
                <w:b/>
                <w:sz w:val="20"/>
                <w:szCs w:val="20"/>
              </w:rPr>
              <w:t>or &gt;120 days</w:t>
            </w:r>
          </w:p>
          <w:p w:rsidR="009033AC" w:rsidRPr="00C3757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Pr="00C3757D">
              <w:rPr>
                <w:b/>
                <w:sz w:val="20"/>
                <w:szCs w:val="20"/>
              </w:rPr>
              <w:t xml:space="preserve"> use during the </w:t>
            </w:r>
            <w:r w:rsidR="00F32397" w:rsidRPr="00C3757D">
              <w:rPr>
                <w:b/>
                <w:sz w:val="20"/>
                <w:szCs w:val="20"/>
              </w:rPr>
              <w:t xml:space="preserve">first </w:t>
            </w:r>
            <w:r w:rsidRPr="00C3757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C3757D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C3757D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C3757D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C3757D">
              <w:rPr>
                <w:b/>
                <w:sz w:val="20"/>
                <w:szCs w:val="20"/>
              </w:rPr>
              <w:t>e AUDIT-C within the first day</w:t>
            </w:r>
            <w:r w:rsidRPr="00C3757D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C3757D" w:rsidRDefault="000D2E91" w:rsidP="000D2E91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936C75" w:rsidRPr="00C3757D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C3757D">
              <w:rPr>
                <w:sz w:val="20"/>
                <w:szCs w:val="20"/>
              </w:rPr>
              <w:t>day</w:t>
            </w:r>
            <w:r w:rsidRPr="00C3757D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C3757D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A25DC6" w:rsidRPr="00C3757D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 day</w:t>
            </w:r>
            <w:r w:rsidR="00A25DC6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C3757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Pr="00C3757D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C3757D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refused screening with</w:t>
            </w:r>
            <w:r w:rsidR="00F32397" w:rsidRPr="00C3757D">
              <w:rPr>
                <w:b/>
                <w:sz w:val="20"/>
                <w:szCs w:val="20"/>
              </w:rPr>
              <w:t xml:space="preserve"> the AUDIT-C within the first </w:t>
            </w:r>
            <w:r w:rsidRPr="00C3757D">
              <w:rPr>
                <w:b/>
                <w:sz w:val="20"/>
                <w:szCs w:val="20"/>
              </w:rPr>
              <w:t>day of  admission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screened wit</w:t>
            </w:r>
            <w:r w:rsidR="00F32397" w:rsidRPr="00C3757D">
              <w:rPr>
                <w:b/>
                <w:sz w:val="20"/>
                <w:szCs w:val="20"/>
              </w:rPr>
              <w:t>h the AUDIT-C within the first  day</w:t>
            </w:r>
            <w:r w:rsidRPr="00C3757D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C3757D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C3757D" w:rsidRDefault="00A25DC6" w:rsidP="00A25DC6">
            <w:pPr>
              <w:numPr>
                <w:ilvl w:val="0"/>
                <w:numId w:val="21"/>
              </w:numPr>
            </w:pPr>
            <w:r w:rsidRPr="00C3757D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C3757D">
              <w:rPr>
                <w:b/>
                <w:sz w:val="20"/>
                <w:szCs w:val="20"/>
              </w:rPr>
              <w:t xml:space="preserve"> AUDIT-C within the first </w:t>
            </w:r>
            <w:r w:rsidRPr="00C3757D">
              <w:rPr>
                <w:b/>
                <w:sz w:val="20"/>
                <w:szCs w:val="20"/>
              </w:rPr>
              <w:t>day of ad</w:t>
            </w:r>
            <w:r w:rsidR="007C787F" w:rsidRPr="00C3757D">
              <w:rPr>
                <w:b/>
                <w:sz w:val="20"/>
                <w:szCs w:val="20"/>
              </w:rPr>
              <w:t>mission and the total score is</w:t>
            </w:r>
            <w:r w:rsidRPr="00C3757D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C3757D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received brief intervention</w:t>
            </w:r>
            <w:r w:rsidR="00B01E29" w:rsidRPr="00C3757D">
              <w:rPr>
                <w:sz w:val="20"/>
                <w:szCs w:val="20"/>
              </w:rPr>
              <w:t xml:space="preserve"> that contained all of the required components</w:t>
            </w:r>
            <w:r w:rsidRPr="00C3757D">
              <w:rPr>
                <w:sz w:val="20"/>
                <w:szCs w:val="20"/>
              </w:rPr>
              <w:t xml:space="preserve"> </w:t>
            </w:r>
            <w:r w:rsidR="000D2E91" w:rsidRPr="00C3757D">
              <w:rPr>
                <w:sz w:val="20"/>
                <w:szCs w:val="20"/>
              </w:rPr>
              <w:t>OR</w:t>
            </w:r>
          </w:p>
          <w:p w:rsidR="000D2E91" w:rsidRPr="00C3757D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refused brief intervention</w:t>
            </w:r>
          </w:p>
          <w:p w:rsidR="000D2E91" w:rsidRPr="00C3757D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C3757D" w:rsidRDefault="000D2E91" w:rsidP="000D2E91"/>
          <w:p w:rsidR="00DF5EAC" w:rsidRPr="00C3757D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C3757D" w:rsidRDefault="00E14FC5">
      <w:r w:rsidRPr="00C3757D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C3757D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DF5EAC" w:rsidRPr="00C3757D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C3757D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C43F48" w:rsidRPr="00C3757D" w:rsidRDefault="002E39AD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 day</w:t>
            </w:r>
            <w:r w:rsidR="00C43F48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C3757D" w:rsidRDefault="009033AC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="00F32397" w:rsidRPr="00C3757D">
              <w:rPr>
                <w:b/>
                <w:sz w:val="20"/>
                <w:szCs w:val="20"/>
              </w:rPr>
              <w:t xml:space="preserve"> use during the first </w:t>
            </w:r>
            <w:r w:rsidRPr="00C3757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C3757D" w:rsidRDefault="00C43F48" w:rsidP="002E39AD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  <w:p w:rsidR="00614320" w:rsidRPr="00C3757D" w:rsidRDefault="00614320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with any discharge status </w:t>
            </w:r>
            <w:r w:rsidRPr="00C3757D">
              <w:rPr>
                <w:b/>
                <w:sz w:val="20"/>
                <w:szCs w:val="20"/>
                <w:u w:val="single"/>
              </w:rPr>
              <w:t>except</w:t>
            </w:r>
            <w:r w:rsidRPr="00C3757D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C3757D" w:rsidRDefault="00614320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C3757D" w:rsidRDefault="00160B99" w:rsidP="002E39AD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C3757D" w:rsidRDefault="00C30D92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</w:t>
            </w:r>
            <w:r w:rsidR="00160B99" w:rsidRPr="00C3757D">
              <w:rPr>
                <w:b/>
                <w:sz w:val="20"/>
                <w:szCs w:val="20"/>
              </w:rPr>
              <w:t xml:space="preserve"> prescription</w:t>
            </w:r>
            <w:r w:rsidR="006124F7" w:rsidRPr="00C3757D">
              <w:rPr>
                <w:b/>
                <w:sz w:val="20"/>
                <w:szCs w:val="20"/>
              </w:rPr>
              <w:t xml:space="preserve"> for</w:t>
            </w:r>
            <w:r w:rsidR="004248C2" w:rsidRPr="00C3757D">
              <w:rPr>
                <w:b/>
                <w:sz w:val="20"/>
                <w:szCs w:val="20"/>
              </w:rPr>
              <w:t xml:space="preserve"> an</w:t>
            </w:r>
            <w:r w:rsidR="006124F7" w:rsidRPr="00C3757D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</w:t>
            </w:r>
            <w:r w:rsidRPr="00C3757D">
              <w:rPr>
                <w:sz w:val="20"/>
                <w:szCs w:val="20"/>
              </w:rPr>
              <w:t>:</w:t>
            </w:r>
          </w:p>
          <w:p w:rsidR="006124F7" w:rsidRPr="00C3757D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</w:t>
            </w:r>
            <w:r w:rsidR="00421726" w:rsidRPr="00C3757D">
              <w:rPr>
                <w:b/>
                <w:sz w:val="20"/>
                <w:szCs w:val="20"/>
              </w:rPr>
              <w:t>re is a diagnosis code on table</w:t>
            </w:r>
            <w:r w:rsidRPr="00C3757D">
              <w:rPr>
                <w:b/>
                <w:sz w:val="20"/>
                <w:szCs w:val="20"/>
              </w:rPr>
              <w:t xml:space="preserve"> 13.1 or 13.2 or </w:t>
            </w:r>
            <w:r w:rsidR="00421726" w:rsidRPr="00C3757D">
              <w:rPr>
                <w:b/>
                <w:sz w:val="20"/>
                <w:szCs w:val="20"/>
              </w:rPr>
              <w:t xml:space="preserve">a </w:t>
            </w:r>
            <w:r w:rsidRPr="00C3757D">
              <w:rPr>
                <w:b/>
                <w:sz w:val="20"/>
                <w:szCs w:val="20"/>
              </w:rPr>
              <w:t>procedure code on</w:t>
            </w:r>
            <w:r w:rsidR="00421726" w:rsidRPr="00C3757D">
              <w:rPr>
                <w:b/>
                <w:sz w:val="20"/>
                <w:szCs w:val="20"/>
              </w:rPr>
              <w:t xml:space="preserve"> table</w:t>
            </w:r>
            <w:r w:rsidRPr="00C3757D">
              <w:rPr>
                <w:b/>
                <w:sz w:val="20"/>
                <w:szCs w:val="20"/>
              </w:rPr>
              <w:t xml:space="preserve"> 13.3</w:t>
            </w:r>
            <w:r w:rsidR="00421726" w:rsidRPr="00C3757D">
              <w:rPr>
                <w:b/>
                <w:sz w:val="20"/>
                <w:szCs w:val="20"/>
              </w:rPr>
              <w:t xml:space="preserve"> </w:t>
            </w:r>
            <w:r w:rsidRPr="00C3757D">
              <w:rPr>
                <w:b/>
                <w:sz w:val="20"/>
                <w:szCs w:val="20"/>
              </w:rPr>
              <w:t>and</w:t>
            </w:r>
          </w:p>
          <w:p w:rsidR="006124F7" w:rsidRPr="00C3757D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C3757D">
              <w:rPr>
                <w:b/>
                <w:sz w:val="20"/>
                <w:szCs w:val="20"/>
              </w:rPr>
              <w:t>or t</w:t>
            </w:r>
            <w:r w:rsidRPr="00C3757D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C3757D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OR</w:t>
            </w:r>
            <w:r w:rsidR="00C314B0" w:rsidRPr="00C3757D">
              <w:rPr>
                <w:b/>
                <w:sz w:val="20"/>
                <w:szCs w:val="20"/>
              </w:rPr>
              <w:t xml:space="preserve"> if r</w:t>
            </w:r>
            <w:r w:rsidR="00F94FE5" w:rsidRPr="00C3757D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C3757D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C3757D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C3757D">
              <w:rPr>
                <w:b/>
                <w:sz w:val="20"/>
                <w:szCs w:val="20"/>
              </w:rPr>
              <w:t xml:space="preserve"> or </w:t>
            </w:r>
            <w:r w:rsidR="00C314B0" w:rsidRPr="00C3757D">
              <w:rPr>
                <w:b/>
                <w:sz w:val="20"/>
                <w:szCs w:val="20"/>
              </w:rPr>
              <w:t>the patient refused the</w:t>
            </w:r>
            <w:r w:rsidRPr="00C3757D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C3757D" w:rsidRDefault="00E14FC5">
      <w:r w:rsidRPr="00C3757D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C532FA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C3757D" w:rsidRDefault="00C532FA" w:rsidP="00126D6A">
            <w:pPr>
              <w:jc w:val="center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</w:t>
            </w:r>
            <w:r w:rsidR="00792C23" w:rsidRPr="00C3757D">
              <w:rPr>
                <w:sz w:val="20"/>
                <w:szCs w:val="20"/>
              </w:rPr>
              <w:t>70</w:t>
            </w:r>
          </w:p>
          <w:p w:rsidR="00C532FA" w:rsidRPr="00C3757D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C3757D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C3757D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C3757D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C3757D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C3757D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C3757D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C3757D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sz w:val="20"/>
              </w:rPr>
            </w:pPr>
            <w:r w:rsidRPr="00C3757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Includes all cases </w:t>
            </w:r>
            <w:r w:rsidRPr="00C3757D">
              <w:rPr>
                <w:sz w:val="20"/>
                <w:u w:val="single"/>
              </w:rPr>
              <w:t>except</w:t>
            </w:r>
            <w:r w:rsidRPr="00C3757D">
              <w:rPr>
                <w:sz w:val="20"/>
              </w:rPr>
              <w:t>: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Length of stay is &gt;120 days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The principal procedure code is not a code on Table 5.11, 5.17, 5.19, 5.20, 5.21, 5.22, 5.23, 5.24</w:t>
            </w:r>
            <w:r w:rsidR="00875B65" w:rsidRPr="00C3757D">
              <w:rPr>
                <w:sz w:val="20"/>
              </w:rPr>
              <w:t xml:space="preserve"> or  VASC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Of cases included in the denominator: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The medical record contains a consent dated 0-60 days prior to the procedure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Informed consent within 60 days ( </w:t>
            </w:r>
            <w:proofErr w:type="spellStart"/>
            <w:r w:rsidRPr="00C3757D">
              <w:rPr>
                <w:sz w:val="20"/>
              </w:rPr>
              <w:t>iMed</w:t>
            </w:r>
            <w:proofErr w:type="spellEnd"/>
            <w:r w:rsidRPr="00C3757D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sz w:val="20"/>
              </w:rPr>
            </w:pPr>
            <w:r w:rsidRPr="00C3757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Includes all cases </w:t>
            </w:r>
            <w:r w:rsidRPr="00C3757D">
              <w:rPr>
                <w:sz w:val="20"/>
                <w:u w:val="single"/>
              </w:rPr>
              <w:t>except</w:t>
            </w:r>
            <w:r w:rsidRPr="00C3757D">
              <w:rPr>
                <w:sz w:val="20"/>
              </w:rPr>
              <w:t>: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Length of stay is &gt;120 days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The principal procedure code is not a code on Table 5.11, 5.17, 5.19, 5.20, 5.21, 5.22, 5.23, 5.24</w:t>
            </w:r>
            <w:r w:rsidR="00CB0585" w:rsidRPr="00C3757D">
              <w:rPr>
                <w:sz w:val="20"/>
              </w:rPr>
              <w:t xml:space="preserve"> or</w:t>
            </w:r>
            <w:r w:rsidR="00875B65" w:rsidRPr="00C3757D">
              <w:rPr>
                <w:sz w:val="20"/>
              </w:rPr>
              <w:t xml:space="preserve"> VASC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Those without a consent form dated 0-60 day prior to the procedure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Of cases included in the denominator: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C3757D">
              <w:rPr>
                <w:sz w:val="20"/>
              </w:rPr>
              <w:t>iMedConsent</w:t>
            </w:r>
            <w:proofErr w:type="spellEnd"/>
            <w:r w:rsidRPr="00C3757D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697262" w:rsidRDefault="00697262">
      <w:pPr>
        <w:rPr>
          <w:b/>
        </w:rPr>
      </w:pPr>
      <w:r w:rsidRPr="00697262">
        <w:rPr>
          <w:b/>
        </w:rPr>
        <w:t>VHA Quality Indicators</w:t>
      </w:r>
      <w:r w:rsidR="00F3512B" w:rsidRPr="00697262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C3757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C3757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C3757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933569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933569">
              <w:rPr>
                <w:sz w:val="20"/>
                <w:szCs w:val="20"/>
                <w:highlight w:val="lightGray"/>
              </w:rPr>
              <w:t>Documented medications were not prescribed at discharge</w:t>
            </w:r>
          </w:p>
          <w:p w:rsidR="00F3512B" w:rsidRPr="00C3757D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C3757D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C3757D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C3757D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C3757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C3757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C3757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C3757D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C3757D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3757D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C3757D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C3757D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C3757D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C3757D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C3757D" w:rsidRDefault="00C532FA">
      <w:r w:rsidRPr="00C3757D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F46023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23" w:rsidRPr="009600D4" w:rsidRDefault="00F46023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9600D4">
              <w:rPr>
                <w:b w:val="0"/>
                <w:bCs/>
                <w:sz w:val="20"/>
                <w:highlight w:val="lightGray"/>
                <w:u w:val="none"/>
              </w:rPr>
              <w:t>mrec44</w:t>
            </w: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600D4" w:rsidRDefault="00F46023" w:rsidP="00F46023">
            <w:pPr>
              <w:rPr>
                <w:sz w:val="20"/>
                <w:szCs w:val="20"/>
                <w:highlight w:val="lightGray"/>
              </w:rPr>
            </w:pPr>
            <w:r w:rsidRPr="009600D4">
              <w:rPr>
                <w:sz w:val="20"/>
                <w:szCs w:val="20"/>
                <w:highlight w:val="lightGray"/>
              </w:rPr>
              <w:t>Essential medication list for re</w:t>
            </w:r>
            <w:r w:rsidR="00933569">
              <w:rPr>
                <w:sz w:val="20"/>
                <w:szCs w:val="20"/>
                <w:highlight w:val="lightGray"/>
              </w:rPr>
              <w:t xml:space="preserve">view with all components in </w:t>
            </w:r>
            <w:r w:rsidRPr="009600D4">
              <w:rPr>
                <w:sz w:val="20"/>
                <w:szCs w:val="20"/>
                <w:highlight w:val="lightGray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600D4" w:rsidRDefault="00F46023" w:rsidP="00D508CB">
            <w:pPr>
              <w:jc w:val="center"/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600D4" w:rsidRDefault="00F46023" w:rsidP="00D508CB">
            <w:p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600D4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 xml:space="preserve">Number of cases with evidence in the medical record upon admission or within 24 hours after admission that a medication list for review included all of  the </w:t>
            </w:r>
            <w:bookmarkStart w:id="0" w:name="_GoBack"/>
            <w:r w:rsidRPr="009600D4">
              <w:rPr>
                <w:sz w:val="20"/>
                <w:highlight w:val="lightGray"/>
              </w:rPr>
              <w:t>Essential Medication List components</w:t>
            </w:r>
          </w:p>
          <w:p w:rsidR="00F46023" w:rsidRPr="009600D4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Active VA Prescriptions</w:t>
            </w:r>
          </w:p>
          <w:p w:rsidR="00F46023" w:rsidRPr="009600D4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Remote Active VA Prescriptions</w:t>
            </w:r>
          </w:p>
          <w:p w:rsidR="00F46023" w:rsidRPr="009600D4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Non-VA Prescriptions</w:t>
            </w:r>
          </w:p>
          <w:p w:rsidR="00F46023" w:rsidRPr="009600D4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Expired VA Prescriptions</w:t>
            </w:r>
            <w:r w:rsidR="00800F29">
              <w:rPr>
                <w:sz w:val="20"/>
                <w:highlight w:val="lightGray"/>
              </w:rPr>
              <w:t xml:space="preserve"> </w:t>
            </w:r>
            <w:r w:rsidR="00AF4C39">
              <w:rPr>
                <w:sz w:val="20"/>
                <w:highlight w:val="lightGray"/>
              </w:rPr>
              <w:t>within the last 90 days</w:t>
            </w:r>
            <w:r w:rsidR="00800F29">
              <w:rPr>
                <w:sz w:val="20"/>
                <w:highlight w:val="lightGray"/>
              </w:rPr>
              <w:t>(</w:t>
            </w:r>
            <w:r w:rsidR="00AF4C39">
              <w:rPr>
                <w:sz w:val="20"/>
                <w:highlight w:val="lightGray"/>
              </w:rPr>
              <w:t xml:space="preserve"> and </w:t>
            </w:r>
            <w:r w:rsidRPr="009600D4">
              <w:rPr>
                <w:sz w:val="20"/>
                <w:highlight w:val="lightGray"/>
              </w:rPr>
              <w:t>may include those expired within the past 180 days)</w:t>
            </w:r>
          </w:p>
          <w:p w:rsidR="00F46023" w:rsidRPr="009600D4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 xml:space="preserve">Discontinued VA Prescriptions </w:t>
            </w:r>
            <w:r w:rsidR="00AF4C39">
              <w:rPr>
                <w:sz w:val="20"/>
                <w:highlight w:val="lightGray"/>
              </w:rPr>
              <w:t xml:space="preserve">within the last 90 days </w:t>
            </w:r>
            <w:r w:rsidR="00800F29">
              <w:rPr>
                <w:sz w:val="20"/>
                <w:highlight w:val="lightGray"/>
              </w:rPr>
              <w:t>(</w:t>
            </w:r>
            <w:r w:rsidR="00AF4C39">
              <w:rPr>
                <w:sz w:val="20"/>
                <w:highlight w:val="lightGray"/>
              </w:rPr>
              <w:t xml:space="preserve">and </w:t>
            </w:r>
            <w:r w:rsidRPr="009600D4">
              <w:rPr>
                <w:sz w:val="20"/>
                <w:highlight w:val="lightGray"/>
              </w:rPr>
              <w:t xml:space="preserve">may include those </w:t>
            </w:r>
            <w:r w:rsidR="00800F29">
              <w:rPr>
                <w:sz w:val="20"/>
                <w:highlight w:val="lightGray"/>
              </w:rPr>
              <w:t>discontinued</w:t>
            </w:r>
            <w:r w:rsidRPr="009600D4">
              <w:rPr>
                <w:sz w:val="20"/>
                <w:highlight w:val="lightGray"/>
              </w:rPr>
              <w:t xml:space="preserve"> within the past 180 days)</w:t>
            </w:r>
          </w:p>
          <w:p w:rsidR="009600D4" w:rsidRPr="009600D4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Pending Medication Orders</w:t>
            </w:r>
            <w:bookmarkEnd w:id="0"/>
          </w:p>
        </w:tc>
      </w:tr>
      <w:tr w:rsidR="00F3512B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9600D4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9600D4">
              <w:rPr>
                <w:b w:val="0"/>
                <w:bCs/>
                <w:sz w:val="20"/>
                <w:highlight w:val="lightGray"/>
                <w:u w:val="none"/>
              </w:rPr>
              <w:t>mrec45</w:t>
            </w: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  <w:p w:rsidR="009600D4" w:rsidRPr="009600D4" w:rsidRDefault="009600D4" w:rsidP="009600D4">
            <w:pPr>
              <w:rPr>
                <w:highlight w:val="lightGray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600D4" w:rsidRDefault="00834E5D" w:rsidP="00D508CB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Essential medication list for review includes active VA p</w:t>
            </w:r>
            <w:r w:rsidR="00F3512B" w:rsidRPr="009600D4">
              <w:rPr>
                <w:sz w:val="20"/>
                <w:szCs w:val="20"/>
                <w:highlight w:val="lightGray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600D4" w:rsidRDefault="00B62958" w:rsidP="00D508CB">
            <w:pPr>
              <w:jc w:val="center"/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70</w:t>
            </w:r>
          </w:p>
          <w:p w:rsidR="008871AD" w:rsidRPr="009600D4" w:rsidRDefault="008871AD" w:rsidP="00D508CB">
            <w:pPr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600D4" w:rsidRDefault="009600D4" w:rsidP="00D508CB">
            <w:p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9600D4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  <w:highlight w:val="lightGray"/>
              </w:rPr>
            </w:pPr>
            <w:r w:rsidRPr="009600D4">
              <w:rPr>
                <w:sz w:val="20"/>
                <w:highlight w:val="lightGray"/>
              </w:rPr>
              <w:t>Number of cases with evidence in the medical record upon admission or within 24 hours after admission that a medication list for review includ</w:t>
            </w:r>
            <w:r w:rsidR="00AF4C39">
              <w:rPr>
                <w:sz w:val="20"/>
                <w:highlight w:val="lightGray"/>
              </w:rPr>
              <w:t xml:space="preserve">ed </w:t>
            </w:r>
            <w:r w:rsidRPr="009600D4">
              <w:rPr>
                <w:sz w:val="20"/>
                <w:highlight w:val="lightGray"/>
              </w:rPr>
              <w:t xml:space="preserve"> the </w:t>
            </w:r>
            <w:r w:rsidR="00AF4C39">
              <w:rPr>
                <w:sz w:val="20"/>
                <w:highlight w:val="lightGray"/>
              </w:rPr>
              <w:t>essential medication l</w:t>
            </w:r>
            <w:r w:rsidRPr="009600D4">
              <w:rPr>
                <w:sz w:val="20"/>
                <w:highlight w:val="lightGray"/>
              </w:rPr>
              <w:t>ist</w:t>
            </w:r>
            <w:r>
              <w:rPr>
                <w:sz w:val="20"/>
                <w:highlight w:val="lightGray"/>
              </w:rPr>
              <w:t xml:space="preserve"> component </w:t>
            </w:r>
            <w:r w:rsidR="007C365F">
              <w:rPr>
                <w:sz w:val="20"/>
                <w:highlight w:val="lightGray"/>
              </w:rPr>
              <w:t>a</w:t>
            </w:r>
            <w:r w:rsidRPr="009600D4">
              <w:rPr>
                <w:sz w:val="20"/>
                <w:highlight w:val="lightGray"/>
              </w:rPr>
              <w:t>ctive</w:t>
            </w:r>
            <w:r w:rsidR="007C365F">
              <w:rPr>
                <w:sz w:val="20"/>
                <w:highlight w:val="lightGray"/>
              </w:rPr>
              <w:t xml:space="preserve"> VA p</w:t>
            </w:r>
            <w:r w:rsidRPr="009600D4">
              <w:rPr>
                <w:sz w:val="20"/>
                <w:highlight w:val="lightGray"/>
              </w:rPr>
              <w:t>rescriptions</w:t>
            </w:r>
          </w:p>
          <w:p w:rsidR="00F3512B" w:rsidRPr="00C3757D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834E5D">
              <w:rPr>
                <w:b w:val="0"/>
                <w:bCs/>
                <w:sz w:val="20"/>
                <w:highlight w:val="lightGray"/>
                <w:u w:val="none"/>
              </w:rPr>
              <w:t>mrec46</w:t>
            </w:r>
          </w:p>
          <w:p w:rsidR="00834E5D" w:rsidRPr="00834E5D" w:rsidRDefault="00834E5D" w:rsidP="00834E5D">
            <w:pPr>
              <w:rPr>
                <w:highlight w:val="lightGray"/>
              </w:rPr>
            </w:pPr>
          </w:p>
          <w:p w:rsidR="00834E5D" w:rsidRPr="00834E5D" w:rsidRDefault="00834E5D" w:rsidP="00834E5D">
            <w:pPr>
              <w:rPr>
                <w:highlight w:val="lightGray"/>
              </w:rPr>
            </w:pPr>
          </w:p>
          <w:p w:rsidR="00834E5D" w:rsidRPr="00834E5D" w:rsidRDefault="00834E5D" w:rsidP="00834E5D">
            <w:pPr>
              <w:rPr>
                <w:highlight w:val="lightGray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834E5D" w:rsidRDefault="00834E5D" w:rsidP="00D508CB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Essential medication list for review includes remote active VA p</w:t>
            </w:r>
            <w:r w:rsidRPr="00834E5D">
              <w:rPr>
                <w:sz w:val="20"/>
                <w:szCs w:val="20"/>
                <w:highlight w:val="lightGray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834E5D" w:rsidRDefault="00834E5D" w:rsidP="00D508CB">
            <w:pPr>
              <w:jc w:val="center"/>
              <w:rPr>
                <w:sz w:val="20"/>
                <w:highlight w:val="lightGray"/>
              </w:rPr>
            </w:pPr>
            <w:r w:rsidRPr="00834E5D">
              <w:rPr>
                <w:sz w:val="20"/>
                <w:highlight w:val="lightGray"/>
              </w:rPr>
              <w:t>70</w:t>
            </w:r>
          </w:p>
          <w:p w:rsidR="00834E5D" w:rsidRPr="00834E5D" w:rsidRDefault="00834E5D" w:rsidP="00D508CB">
            <w:pPr>
              <w:jc w:val="center"/>
              <w:rPr>
                <w:highlight w:val="lightGray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Default="00834E5D">
            <w:r w:rsidRPr="008068B7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C3757D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834E5D">
              <w:rPr>
                <w:sz w:val="20"/>
                <w:highlight w:val="lightGray"/>
              </w:rPr>
              <w:t>Number of cases with evidence in the medical record upon admission or within 24 hours after admission that a medication list for review includ</w:t>
            </w:r>
            <w:r w:rsidR="00AF4C39">
              <w:rPr>
                <w:sz w:val="20"/>
                <w:highlight w:val="lightGray"/>
              </w:rPr>
              <w:t xml:space="preserve">ed </w:t>
            </w:r>
            <w:r w:rsidRPr="00834E5D">
              <w:rPr>
                <w:sz w:val="20"/>
                <w:highlight w:val="lightGray"/>
              </w:rPr>
              <w:t xml:space="preserve">the </w:t>
            </w:r>
            <w:r w:rsidR="00AF4C39">
              <w:rPr>
                <w:sz w:val="20"/>
                <w:highlight w:val="lightGray"/>
              </w:rPr>
              <w:t>e</w:t>
            </w:r>
            <w:r w:rsidRPr="00834E5D">
              <w:rPr>
                <w:sz w:val="20"/>
                <w:highlight w:val="lightGray"/>
              </w:rPr>
              <w:t xml:space="preserve">ssential </w:t>
            </w:r>
            <w:r w:rsidR="00AF4C39">
              <w:rPr>
                <w:sz w:val="20"/>
                <w:highlight w:val="lightGray"/>
              </w:rPr>
              <w:t>medication l</w:t>
            </w:r>
            <w:r w:rsidRPr="00834E5D">
              <w:rPr>
                <w:sz w:val="20"/>
                <w:highlight w:val="lightGray"/>
              </w:rPr>
              <w:t xml:space="preserve">ist component </w:t>
            </w:r>
            <w:r w:rsidR="007C365F">
              <w:rPr>
                <w:sz w:val="20"/>
                <w:highlight w:val="lightGray"/>
              </w:rPr>
              <w:t>remote active VA p</w:t>
            </w:r>
            <w:r w:rsidRPr="00834E5D">
              <w:rPr>
                <w:sz w:val="20"/>
                <w:highlight w:val="lightGray"/>
              </w:rPr>
              <w:t>rescriptions</w:t>
            </w:r>
            <w:r w:rsidRPr="00834E5D">
              <w:rPr>
                <w:sz w:val="20"/>
              </w:rPr>
              <w:t xml:space="preserve"> 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834E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834E5D">
              <w:rPr>
                <w:b w:val="0"/>
                <w:bCs/>
                <w:sz w:val="20"/>
                <w:highlight w:val="lightGray"/>
                <w:u w:val="none"/>
              </w:rPr>
              <w:t>mrec47</w:t>
            </w:r>
          </w:p>
          <w:p w:rsidR="00834E5D" w:rsidRPr="00834E5D" w:rsidRDefault="00834E5D" w:rsidP="00834E5D">
            <w:pPr>
              <w:rPr>
                <w:highlight w:val="lightGray"/>
              </w:rPr>
            </w:pPr>
          </w:p>
          <w:p w:rsidR="00834E5D" w:rsidRPr="00834E5D" w:rsidRDefault="00834E5D" w:rsidP="00834E5D">
            <w:pPr>
              <w:rPr>
                <w:highlight w:val="lightGray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834E5D" w:rsidRDefault="00834E5D" w:rsidP="00D508CB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Essential medication list for review includes non-VA m</w:t>
            </w:r>
            <w:r w:rsidRPr="00834E5D">
              <w:rPr>
                <w:sz w:val="20"/>
                <w:szCs w:val="20"/>
                <w:highlight w:val="lightGray"/>
              </w:rPr>
              <w:t>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834E5D" w:rsidRDefault="00834E5D" w:rsidP="00D508CB">
            <w:pPr>
              <w:jc w:val="center"/>
              <w:rPr>
                <w:highlight w:val="lightGray"/>
              </w:rPr>
            </w:pPr>
            <w:r w:rsidRPr="00834E5D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Default="00834E5D">
            <w:r w:rsidRPr="008068B7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C3757D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834E5D">
              <w:rPr>
                <w:sz w:val="20"/>
                <w:highlight w:val="lightGray"/>
              </w:rPr>
              <w:t>Number of cases with evidence in the medical record upon admission or within 24 hours after admission that a medication list for review includ</w:t>
            </w:r>
            <w:r w:rsidR="00351305">
              <w:rPr>
                <w:sz w:val="20"/>
                <w:highlight w:val="lightGray"/>
              </w:rPr>
              <w:t xml:space="preserve">ed </w:t>
            </w:r>
            <w:r w:rsidRPr="00834E5D">
              <w:rPr>
                <w:sz w:val="20"/>
                <w:highlight w:val="lightGray"/>
              </w:rPr>
              <w:t xml:space="preserve"> the </w:t>
            </w:r>
            <w:r w:rsidR="00351305">
              <w:rPr>
                <w:sz w:val="20"/>
                <w:highlight w:val="lightGray"/>
              </w:rPr>
              <w:t>essential medication l</w:t>
            </w:r>
            <w:r w:rsidRPr="00834E5D">
              <w:rPr>
                <w:sz w:val="20"/>
                <w:highlight w:val="lightGray"/>
              </w:rPr>
              <w:t>ist</w:t>
            </w:r>
            <w:r w:rsidR="00AF4C39">
              <w:rPr>
                <w:sz w:val="20"/>
                <w:highlight w:val="lightGray"/>
              </w:rPr>
              <w:t xml:space="preserve"> </w:t>
            </w:r>
            <w:r w:rsidRPr="00834E5D">
              <w:rPr>
                <w:sz w:val="20"/>
                <w:highlight w:val="lightGray"/>
              </w:rPr>
              <w:t xml:space="preserve">component </w:t>
            </w:r>
            <w:r w:rsidR="007C365F">
              <w:rPr>
                <w:sz w:val="20"/>
                <w:highlight w:val="lightGray"/>
              </w:rPr>
              <w:t>non-VA m</w:t>
            </w:r>
            <w:r w:rsidRPr="00834E5D">
              <w:rPr>
                <w:sz w:val="20"/>
                <w:highlight w:val="lightGray"/>
              </w:rPr>
              <w:t>edication</w:t>
            </w:r>
            <w:r w:rsidRPr="00834E5D">
              <w:rPr>
                <w:sz w:val="20"/>
              </w:rPr>
              <w:t xml:space="preserve"> 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81453E">
              <w:rPr>
                <w:b w:val="0"/>
                <w:bCs/>
                <w:sz w:val="20"/>
                <w:highlight w:val="lightGray"/>
                <w:u w:val="none"/>
              </w:rPr>
              <w:t>mrec48</w:t>
            </w:r>
          </w:p>
          <w:p w:rsidR="0081453E" w:rsidRDefault="0081453E" w:rsidP="0081453E">
            <w:pPr>
              <w:rPr>
                <w:highlight w:val="lightGray"/>
              </w:rPr>
            </w:pPr>
          </w:p>
          <w:p w:rsidR="0081453E" w:rsidRPr="0081453E" w:rsidRDefault="0081453E" w:rsidP="0081453E">
            <w:pPr>
              <w:rPr>
                <w:highlight w:val="lightGray"/>
              </w:rPr>
            </w:pPr>
          </w:p>
          <w:p w:rsidR="00834E5D" w:rsidRPr="0081453E" w:rsidRDefault="00834E5D" w:rsidP="00834E5D">
            <w:pPr>
              <w:rPr>
                <w:highlight w:val="lightGray"/>
              </w:rPr>
            </w:pPr>
          </w:p>
          <w:p w:rsidR="00834E5D" w:rsidRPr="0081453E" w:rsidRDefault="00834E5D" w:rsidP="00834E5D">
            <w:pPr>
              <w:rPr>
                <w:highlight w:val="lightGray"/>
              </w:rPr>
            </w:pPr>
          </w:p>
          <w:p w:rsidR="00834E5D" w:rsidRPr="0081453E" w:rsidRDefault="00834E5D" w:rsidP="00834E5D">
            <w:pPr>
              <w:rPr>
                <w:highlight w:val="lightGray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81453E" w:rsidRDefault="00834E5D" w:rsidP="00D508CB">
            <w:pPr>
              <w:rPr>
                <w:sz w:val="20"/>
                <w:szCs w:val="20"/>
                <w:highlight w:val="lightGray"/>
              </w:rPr>
            </w:pPr>
            <w:r w:rsidRPr="0081453E">
              <w:rPr>
                <w:sz w:val="20"/>
                <w:szCs w:val="20"/>
                <w:highlight w:val="lightGray"/>
              </w:rPr>
              <w:t>Essential medication list for review includes e</w:t>
            </w:r>
            <w:r w:rsidR="007C365F" w:rsidRPr="0081453E">
              <w:rPr>
                <w:sz w:val="20"/>
                <w:szCs w:val="20"/>
                <w:highlight w:val="lightGray"/>
              </w:rPr>
              <w:t>xpired VA p</w:t>
            </w:r>
            <w:r w:rsidRPr="0081453E">
              <w:rPr>
                <w:sz w:val="20"/>
                <w:szCs w:val="20"/>
                <w:highlight w:val="lightGray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81453E" w:rsidRDefault="00834E5D" w:rsidP="00D508CB">
            <w:pPr>
              <w:jc w:val="center"/>
              <w:rPr>
                <w:highlight w:val="lightGray"/>
              </w:rPr>
            </w:pPr>
            <w:r w:rsidRPr="0081453E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Default="00834E5D">
            <w:r w:rsidRPr="008068B7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600D4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  <w:highlight w:val="lightGray"/>
              </w:rPr>
            </w:pPr>
            <w:r w:rsidRPr="0081453E">
              <w:rPr>
                <w:sz w:val="20"/>
                <w:highlight w:val="lightGray"/>
              </w:rPr>
              <w:t>Number of cases with evidence in the medical record upon admission or within 24 hours after admission that a medication list for review includ</w:t>
            </w:r>
            <w:r w:rsidR="00351305">
              <w:rPr>
                <w:sz w:val="20"/>
                <w:highlight w:val="lightGray"/>
              </w:rPr>
              <w:t xml:space="preserve">ed </w:t>
            </w:r>
            <w:r w:rsidRPr="0081453E">
              <w:rPr>
                <w:sz w:val="20"/>
                <w:highlight w:val="lightGray"/>
              </w:rPr>
              <w:t xml:space="preserve">the </w:t>
            </w:r>
            <w:r w:rsidR="00AF4C39">
              <w:rPr>
                <w:sz w:val="20"/>
                <w:highlight w:val="lightGray"/>
              </w:rPr>
              <w:t>essential medication l</w:t>
            </w:r>
            <w:r w:rsidR="00AF4C39" w:rsidRPr="00834E5D">
              <w:rPr>
                <w:sz w:val="20"/>
                <w:highlight w:val="lightGray"/>
              </w:rPr>
              <w:t>ist</w:t>
            </w:r>
            <w:r w:rsidR="00AF4C39">
              <w:rPr>
                <w:sz w:val="20"/>
                <w:highlight w:val="lightGray"/>
              </w:rPr>
              <w:t xml:space="preserve"> </w:t>
            </w:r>
            <w:r w:rsidR="00AF4C39" w:rsidRPr="00834E5D">
              <w:rPr>
                <w:sz w:val="20"/>
                <w:highlight w:val="lightGray"/>
              </w:rPr>
              <w:t xml:space="preserve">component </w:t>
            </w:r>
            <w:r w:rsidR="0081453E" w:rsidRPr="0081453E">
              <w:rPr>
                <w:sz w:val="20"/>
                <w:highlight w:val="lightGray"/>
              </w:rPr>
              <w:t>expired medications</w:t>
            </w:r>
            <w:r w:rsidRPr="0081453E">
              <w:rPr>
                <w:sz w:val="20"/>
                <w:highlight w:val="lightGray"/>
              </w:rPr>
              <w:t xml:space="preserve"> </w:t>
            </w:r>
            <w:r w:rsidR="00351305">
              <w:rPr>
                <w:sz w:val="20"/>
                <w:highlight w:val="lightGray"/>
              </w:rPr>
              <w:t xml:space="preserve">within the last 90 days </w:t>
            </w:r>
            <w:r w:rsidR="00800F29">
              <w:rPr>
                <w:sz w:val="20"/>
                <w:highlight w:val="lightGray"/>
              </w:rPr>
              <w:t>(</w:t>
            </w:r>
            <w:r w:rsidR="00351305">
              <w:rPr>
                <w:sz w:val="20"/>
                <w:highlight w:val="lightGray"/>
              </w:rPr>
              <w:t xml:space="preserve">and </w:t>
            </w:r>
            <w:r w:rsidR="0081453E" w:rsidRPr="0081453E">
              <w:rPr>
                <w:sz w:val="20"/>
                <w:highlight w:val="lightGray"/>
              </w:rPr>
              <w:t xml:space="preserve">may include </w:t>
            </w:r>
            <w:r w:rsidR="0081453E" w:rsidRPr="009600D4">
              <w:rPr>
                <w:sz w:val="20"/>
                <w:highlight w:val="lightGray"/>
              </w:rPr>
              <w:t>those expired within the past 180 days)</w:t>
            </w:r>
          </w:p>
          <w:p w:rsidR="00834E5D" w:rsidRPr="00C3757D" w:rsidRDefault="00834E5D" w:rsidP="0081453E">
            <w:pPr>
              <w:pStyle w:val="ListParagraph"/>
              <w:ind w:left="360"/>
            </w:pPr>
          </w:p>
        </w:tc>
      </w:tr>
    </w:tbl>
    <w:p w:rsidR="009B625D" w:rsidRDefault="009B625D">
      <w:r>
        <w:rPr>
          <w:b/>
        </w:rPr>
        <w:t>Pilot Indicators</w:t>
      </w:r>
      <w:r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C3757D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81453E">
              <w:rPr>
                <w:b w:val="0"/>
                <w:bCs/>
                <w:sz w:val="20"/>
                <w:highlight w:val="lightGray"/>
                <w:u w:val="none"/>
              </w:rPr>
              <w:t>mrec</w:t>
            </w:r>
            <w:r w:rsidR="0081453E" w:rsidRPr="0081453E">
              <w:rPr>
                <w:b w:val="0"/>
                <w:bCs/>
                <w:sz w:val="20"/>
                <w:highlight w:val="lightGray"/>
                <w:u w:val="none"/>
              </w:rPr>
              <w:t>49</w:t>
            </w:r>
          </w:p>
          <w:p w:rsidR="00AF4C39" w:rsidRPr="00AF4C39" w:rsidRDefault="00AF4C39" w:rsidP="00AF4C39">
            <w:pPr>
              <w:rPr>
                <w:highlight w:val="lightGray"/>
              </w:rPr>
            </w:pPr>
          </w:p>
          <w:p w:rsidR="0081453E" w:rsidRPr="0081453E" w:rsidRDefault="0081453E" w:rsidP="0081453E">
            <w:pPr>
              <w:rPr>
                <w:highlight w:val="lightGray"/>
              </w:rPr>
            </w:pPr>
          </w:p>
          <w:p w:rsidR="0081453E" w:rsidRPr="0081453E" w:rsidRDefault="0081453E" w:rsidP="0081453E">
            <w:pPr>
              <w:rPr>
                <w:highlight w:val="lightGray"/>
              </w:rPr>
            </w:pPr>
          </w:p>
          <w:p w:rsidR="0081453E" w:rsidRPr="0081453E" w:rsidRDefault="0081453E" w:rsidP="0081453E">
            <w:pPr>
              <w:rPr>
                <w:highlight w:val="lightGray"/>
              </w:rPr>
            </w:pPr>
          </w:p>
          <w:p w:rsidR="0081453E" w:rsidRPr="0081453E" w:rsidRDefault="0081453E" w:rsidP="0081453E">
            <w:pPr>
              <w:rPr>
                <w:highlight w:val="lightGray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81453E" w:rsidRDefault="00834E5D" w:rsidP="00D508CB">
            <w:pPr>
              <w:rPr>
                <w:sz w:val="20"/>
                <w:szCs w:val="20"/>
                <w:highlight w:val="lightGray"/>
              </w:rPr>
            </w:pPr>
            <w:r w:rsidRPr="0081453E">
              <w:rPr>
                <w:sz w:val="20"/>
                <w:szCs w:val="20"/>
                <w:highlight w:val="lightGray"/>
              </w:rPr>
              <w:t xml:space="preserve">Essential medication list for review includes </w:t>
            </w:r>
            <w:r w:rsidR="0081453E" w:rsidRPr="0081453E">
              <w:rPr>
                <w:sz w:val="20"/>
                <w:szCs w:val="20"/>
                <w:highlight w:val="lightGray"/>
              </w:rPr>
              <w:t>discontinued VA p</w:t>
            </w:r>
            <w:r w:rsidRPr="0081453E">
              <w:rPr>
                <w:sz w:val="20"/>
                <w:szCs w:val="20"/>
                <w:highlight w:val="lightGray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81453E" w:rsidRDefault="00834E5D" w:rsidP="00D508CB">
            <w:pPr>
              <w:jc w:val="center"/>
              <w:rPr>
                <w:highlight w:val="lightGray"/>
              </w:rPr>
            </w:pPr>
            <w:r w:rsidRPr="0081453E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Default="00834E5D">
            <w:r w:rsidRPr="008068B7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600D4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  <w:highlight w:val="lightGray"/>
              </w:rPr>
            </w:pPr>
            <w:r w:rsidRPr="0081453E">
              <w:rPr>
                <w:sz w:val="20"/>
                <w:highlight w:val="lightGray"/>
              </w:rPr>
              <w:t xml:space="preserve">Number of cases with evidence in the medical record upon admission or within 24 hours after admission that a medication list for review included the </w:t>
            </w:r>
            <w:r w:rsidR="00AF4C39">
              <w:rPr>
                <w:sz w:val="20"/>
                <w:highlight w:val="lightGray"/>
              </w:rPr>
              <w:t>essential medication l</w:t>
            </w:r>
            <w:r w:rsidR="00AF4C39" w:rsidRPr="00834E5D">
              <w:rPr>
                <w:sz w:val="20"/>
                <w:highlight w:val="lightGray"/>
              </w:rPr>
              <w:t>ist</w:t>
            </w:r>
            <w:r w:rsidR="00AF4C39">
              <w:rPr>
                <w:sz w:val="20"/>
                <w:highlight w:val="lightGray"/>
              </w:rPr>
              <w:t xml:space="preserve"> </w:t>
            </w:r>
            <w:r w:rsidR="00AF4C39" w:rsidRPr="00834E5D">
              <w:rPr>
                <w:sz w:val="20"/>
                <w:highlight w:val="lightGray"/>
              </w:rPr>
              <w:t xml:space="preserve">component </w:t>
            </w:r>
            <w:r w:rsidRPr="0081453E">
              <w:rPr>
                <w:sz w:val="20"/>
                <w:highlight w:val="lightGray"/>
              </w:rPr>
              <w:t xml:space="preserve">discontinued </w:t>
            </w:r>
            <w:r w:rsidR="00351305">
              <w:rPr>
                <w:sz w:val="20"/>
                <w:highlight w:val="lightGray"/>
              </w:rPr>
              <w:t>VA prescriptions</w:t>
            </w:r>
            <w:r w:rsidRPr="0081453E">
              <w:rPr>
                <w:sz w:val="20"/>
                <w:highlight w:val="lightGray"/>
              </w:rPr>
              <w:t xml:space="preserve"> </w:t>
            </w:r>
            <w:r w:rsidR="009D42B1">
              <w:rPr>
                <w:sz w:val="20"/>
                <w:highlight w:val="lightGray"/>
              </w:rPr>
              <w:t xml:space="preserve">within the last 90 days </w:t>
            </w:r>
            <w:r w:rsidR="00800F29">
              <w:rPr>
                <w:sz w:val="20"/>
                <w:highlight w:val="lightGray"/>
              </w:rPr>
              <w:t>(</w:t>
            </w:r>
            <w:r w:rsidR="009D42B1">
              <w:rPr>
                <w:sz w:val="20"/>
                <w:highlight w:val="lightGray"/>
              </w:rPr>
              <w:t xml:space="preserve">and </w:t>
            </w:r>
            <w:r w:rsidRPr="009600D4">
              <w:rPr>
                <w:sz w:val="20"/>
                <w:highlight w:val="lightGray"/>
              </w:rPr>
              <w:t xml:space="preserve">may include </w:t>
            </w:r>
            <w:r w:rsidR="00EE2C2D">
              <w:rPr>
                <w:sz w:val="20"/>
                <w:highlight w:val="lightGray"/>
              </w:rPr>
              <w:t>those were discontinued</w:t>
            </w:r>
            <w:r w:rsidRPr="009600D4">
              <w:rPr>
                <w:sz w:val="20"/>
                <w:highlight w:val="lightGray"/>
              </w:rPr>
              <w:t xml:space="preserve"> within the past 180 days)</w:t>
            </w:r>
          </w:p>
          <w:p w:rsidR="00834E5D" w:rsidRPr="00C3757D" w:rsidRDefault="00834E5D" w:rsidP="00D508CB"/>
        </w:tc>
      </w:tr>
      <w:tr w:rsidR="00B62958" w:rsidRPr="00E038C4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81453E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81453E">
              <w:rPr>
                <w:b w:val="0"/>
                <w:bCs/>
                <w:sz w:val="20"/>
                <w:highlight w:val="lightGray"/>
                <w:u w:val="none"/>
              </w:rPr>
              <w:t>mrec</w:t>
            </w:r>
            <w:r w:rsidR="0081453E" w:rsidRPr="0081453E">
              <w:rPr>
                <w:b w:val="0"/>
                <w:bCs/>
                <w:sz w:val="20"/>
                <w:highlight w:val="lightGray"/>
                <w:u w:val="none"/>
              </w:rPr>
              <w:t>50</w:t>
            </w:r>
          </w:p>
          <w:p w:rsidR="0081453E" w:rsidRPr="0081453E" w:rsidRDefault="0081453E" w:rsidP="0081453E">
            <w:pPr>
              <w:rPr>
                <w:highlight w:val="lightGray"/>
              </w:rPr>
            </w:pPr>
          </w:p>
          <w:p w:rsidR="0081453E" w:rsidRPr="0081453E" w:rsidRDefault="0081453E" w:rsidP="0081453E">
            <w:pPr>
              <w:rPr>
                <w:highlight w:val="lightGray"/>
              </w:rPr>
            </w:pPr>
          </w:p>
          <w:p w:rsidR="0081453E" w:rsidRPr="0081453E" w:rsidRDefault="0081453E" w:rsidP="0081453E">
            <w:pPr>
              <w:rPr>
                <w:highlight w:val="lightGray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81453E" w:rsidRDefault="00834E5D" w:rsidP="0081453E">
            <w:pPr>
              <w:rPr>
                <w:sz w:val="20"/>
                <w:szCs w:val="20"/>
                <w:highlight w:val="lightGray"/>
              </w:rPr>
            </w:pPr>
            <w:r w:rsidRPr="0081453E">
              <w:rPr>
                <w:sz w:val="20"/>
                <w:szCs w:val="20"/>
                <w:highlight w:val="lightGray"/>
              </w:rPr>
              <w:t xml:space="preserve">Essential medication list for review includes </w:t>
            </w:r>
            <w:r w:rsidR="0081453E" w:rsidRPr="0081453E">
              <w:rPr>
                <w:sz w:val="20"/>
                <w:szCs w:val="20"/>
                <w:highlight w:val="lightGray"/>
              </w:rPr>
              <w:t>pending medication o</w:t>
            </w:r>
            <w:r w:rsidR="00B62958" w:rsidRPr="0081453E">
              <w:rPr>
                <w:sz w:val="20"/>
                <w:szCs w:val="20"/>
                <w:highlight w:val="lightGray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81453E" w:rsidRDefault="00B62958" w:rsidP="00D508CB">
            <w:pPr>
              <w:jc w:val="center"/>
              <w:rPr>
                <w:highlight w:val="lightGray"/>
              </w:rPr>
            </w:pPr>
            <w:r w:rsidRPr="0081453E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81453E" w:rsidRDefault="0081453E" w:rsidP="00D508CB">
            <w:pPr>
              <w:rPr>
                <w:highlight w:val="lightGray"/>
              </w:rPr>
            </w:pPr>
            <w:r w:rsidRPr="0081453E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2E39AD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AF4C39">
              <w:rPr>
                <w:sz w:val="20"/>
                <w:highlight w:val="lightGray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E038C4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83750A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83750A">
              <w:rPr>
                <w:b w:val="0"/>
                <w:bCs/>
                <w:sz w:val="20"/>
                <w:highlight w:val="lightGray"/>
                <w:u w:val="none"/>
              </w:rPr>
              <w:t>mrec51</w:t>
            </w:r>
          </w:p>
          <w:p w:rsidR="009B625D" w:rsidRPr="0083750A" w:rsidRDefault="009B625D" w:rsidP="009B625D">
            <w:pPr>
              <w:rPr>
                <w:highlight w:val="lightGray"/>
              </w:rPr>
            </w:pPr>
          </w:p>
          <w:p w:rsidR="009B625D" w:rsidRPr="0083750A" w:rsidRDefault="009B625D" w:rsidP="009B625D">
            <w:pPr>
              <w:rPr>
                <w:highlight w:val="lightGray"/>
              </w:rPr>
            </w:pPr>
          </w:p>
          <w:p w:rsidR="009B625D" w:rsidRPr="0083750A" w:rsidRDefault="009B625D" w:rsidP="009B625D">
            <w:pPr>
              <w:rPr>
                <w:highlight w:val="lightGray"/>
              </w:rPr>
            </w:pPr>
          </w:p>
          <w:p w:rsidR="009B625D" w:rsidRPr="0083750A" w:rsidRDefault="009B625D" w:rsidP="009B625D">
            <w:pPr>
              <w:rPr>
                <w:highlight w:val="lightGray"/>
              </w:rPr>
            </w:pPr>
          </w:p>
          <w:p w:rsidR="009B625D" w:rsidRPr="0083750A" w:rsidRDefault="009B625D" w:rsidP="009B625D">
            <w:pPr>
              <w:rPr>
                <w:highlight w:val="lightGray"/>
              </w:rPr>
            </w:pPr>
          </w:p>
          <w:p w:rsidR="009B625D" w:rsidRPr="0083750A" w:rsidRDefault="009B625D" w:rsidP="009B625D">
            <w:pPr>
              <w:rPr>
                <w:highlight w:val="lightGray"/>
              </w:rPr>
            </w:pPr>
          </w:p>
          <w:p w:rsidR="009B625D" w:rsidRPr="0083750A" w:rsidRDefault="009B625D" w:rsidP="009B625D">
            <w:pPr>
              <w:rPr>
                <w:highlight w:val="lightGray"/>
              </w:rPr>
            </w:pPr>
          </w:p>
          <w:p w:rsidR="009B625D" w:rsidRPr="0083750A" w:rsidRDefault="009B625D" w:rsidP="009B625D">
            <w:pPr>
              <w:rPr>
                <w:highlight w:val="lightGray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83750A" w:rsidRDefault="009B625D" w:rsidP="0081453E">
            <w:pPr>
              <w:rPr>
                <w:sz w:val="20"/>
                <w:szCs w:val="20"/>
                <w:highlight w:val="lightGray"/>
              </w:rPr>
            </w:pPr>
            <w:r w:rsidRPr="0083750A">
              <w:rPr>
                <w:sz w:val="20"/>
                <w:szCs w:val="20"/>
                <w:highlight w:val="lightGray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83750A" w:rsidRDefault="009B625D" w:rsidP="00D508CB">
            <w:pPr>
              <w:jc w:val="center"/>
              <w:rPr>
                <w:sz w:val="20"/>
                <w:highlight w:val="lightGray"/>
              </w:rPr>
            </w:pPr>
            <w:r w:rsidRPr="0083750A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83750A" w:rsidRDefault="009B625D" w:rsidP="00D508CB">
            <w:pPr>
              <w:rPr>
                <w:sz w:val="20"/>
                <w:highlight w:val="lightGray"/>
              </w:rPr>
            </w:pPr>
            <w:r w:rsidRPr="0083750A">
              <w:rPr>
                <w:sz w:val="20"/>
                <w:highlight w:val="lightGray"/>
              </w:rPr>
              <w:t>Includes all cases except:</w:t>
            </w:r>
          </w:p>
          <w:p w:rsidR="009B625D" w:rsidRPr="0083750A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3750A">
              <w:rPr>
                <w:rFonts w:ascii="Times New Roman" w:hAnsi="Times New Roman" w:cs="Times New Roman"/>
                <w:sz w:val="20"/>
                <w:szCs w:val="20"/>
                <w:highlight w:val="lightGray"/>
                <w:u w:val="single"/>
              </w:rPr>
              <w:t>None</w:t>
            </w:r>
            <w:r w:rsidRPr="0083750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of the medication list components were in the medical record upon admission or within 24 hours after admission</w:t>
            </w:r>
          </w:p>
          <w:p w:rsidR="009B625D" w:rsidRPr="0083750A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3750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Documented the patient/caregiver refused or was unable to participate in review of essential medication list components</w:t>
            </w:r>
          </w:p>
          <w:p w:rsidR="009B625D" w:rsidRPr="009D42B1" w:rsidRDefault="009B625D" w:rsidP="009D42B1">
            <w:pPr>
              <w:rPr>
                <w:sz w:val="20"/>
                <w:highlight w:val="lightGray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83750A" w:rsidRDefault="0083750A" w:rsidP="0083750A">
            <w:pPr>
              <w:rPr>
                <w:sz w:val="20"/>
                <w:highlight w:val="lightGray"/>
              </w:rPr>
            </w:pPr>
            <w:r w:rsidRPr="0083750A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Cases included in the denominator will pass if:</w:t>
            </w:r>
          </w:p>
          <w:p w:rsidR="009B625D" w:rsidRPr="0083750A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  <w:highlight w:val="lightGray"/>
              </w:rPr>
            </w:pPr>
            <w:r w:rsidRPr="0083750A">
              <w:rPr>
                <w:sz w:val="20"/>
                <w:highlight w:val="lightGray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D508CB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C3757D">
    <w:pPr>
      <w:pStyle w:val="Footer"/>
    </w:pPr>
    <w:r>
      <w:t>6/26/2017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C3757D">
      <w:t>ASURES DRAFT EXIT REPORT GUIDE-4</w:t>
    </w:r>
    <w:r w:rsidRPr="00E4746B">
      <w:t>QFY201</w:t>
    </w: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F02EA74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3600"/>
    <w:rsid w:val="007F0733"/>
    <w:rsid w:val="007F1C92"/>
    <w:rsid w:val="007F5103"/>
    <w:rsid w:val="007F6EAB"/>
    <w:rsid w:val="00800F29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C38D7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3569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F0241A"/>
    <w:rsid w:val="00F053C6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97D2-042B-4E5F-A2FC-AB8EA79D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2805</Words>
  <Characters>14733</Characters>
  <Application>Microsoft Office Word</Application>
  <DocSecurity>0</DocSecurity>
  <Lines>122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17</cp:revision>
  <cp:lastPrinted>2013-04-03T17:12:00Z</cp:lastPrinted>
  <dcterms:created xsi:type="dcterms:W3CDTF">2017-06-26T18:56:00Z</dcterms:created>
  <dcterms:modified xsi:type="dcterms:W3CDTF">2017-06-28T12:04:00Z</dcterms:modified>
</cp:coreProperties>
</file>