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p w:rsidR="009C463C" w:rsidRPr="00702720" w:rsidRDefault="009C463C"/>
    <w:p w:rsidR="0067710D" w:rsidRPr="00702720" w:rsidRDefault="006771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67710D" w:rsidRPr="00AE4A82">
        <w:tc>
          <w:tcPr>
            <w:tcW w:w="1368" w:type="dxa"/>
          </w:tcPr>
          <w:p w:rsidR="0067710D" w:rsidRPr="00AE4A82" w:rsidRDefault="0067710D" w:rsidP="007737CF">
            <w:pPr>
              <w:pStyle w:val="Heading1"/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67710D" w:rsidRPr="00AE4A82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67710D" w:rsidRPr="00AE4A82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67710D" w:rsidRPr="00AE4A82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Numerator</w:t>
            </w:r>
          </w:p>
        </w:tc>
      </w:tr>
      <w:tr w:rsidR="005E4B48" w:rsidRPr="00AE4A82">
        <w:tc>
          <w:tcPr>
            <w:tcW w:w="1368" w:type="dxa"/>
          </w:tcPr>
          <w:p w:rsidR="005E4B48" w:rsidRPr="00AE4A82" w:rsidRDefault="00BC7B9B">
            <w:pPr>
              <w:rPr>
                <w:i/>
                <w:sz w:val="20"/>
                <w:szCs w:val="20"/>
              </w:rPr>
            </w:pPr>
            <w:r w:rsidRPr="00AE4A82">
              <w:rPr>
                <w:i/>
                <w:sz w:val="20"/>
                <w:szCs w:val="20"/>
              </w:rPr>
              <w:t>vte3</w:t>
            </w:r>
          </w:p>
        </w:tc>
        <w:tc>
          <w:tcPr>
            <w:tcW w:w="3240" w:type="dxa"/>
          </w:tcPr>
          <w:p w:rsidR="005E4B48" w:rsidRPr="00AE4A82" w:rsidRDefault="00BC7B9B">
            <w:pPr>
              <w:rPr>
                <w:sz w:val="20"/>
                <w:szCs w:val="20"/>
              </w:rPr>
            </w:pPr>
            <w:r w:rsidRPr="00AE4A82">
              <w:rPr>
                <w:bCs/>
                <w:i/>
                <w:sz w:val="22"/>
                <w:szCs w:val="22"/>
              </w:rPr>
              <w:t>VTE patients with anticoagulation overlap therapy</w:t>
            </w:r>
          </w:p>
        </w:tc>
        <w:tc>
          <w:tcPr>
            <w:tcW w:w="4140" w:type="dxa"/>
          </w:tcPr>
          <w:p w:rsidR="00975414" w:rsidRPr="00AE4A82" w:rsidRDefault="00975414" w:rsidP="00975414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All cases are included </w:t>
            </w:r>
            <w:r w:rsidRPr="00EF27A5">
              <w:rPr>
                <w:b/>
                <w:sz w:val="20"/>
                <w:szCs w:val="20"/>
                <w:u w:val="single"/>
              </w:rPr>
              <w:t>excep</w:t>
            </w:r>
            <w:r w:rsidRPr="00EF27A5">
              <w:rPr>
                <w:b/>
                <w:sz w:val="20"/>
                <w:szCs w:val="20"/>
              </w:rPr>
              <w:t>t</w:t>
            </w:r>
            <w:r w:rsidRPr="00AE4A82">
              <w:rPr>
                <w:sz w:val="20"/>
                <w:szCs w:val="20"/>
              </w:rPr>
              <w:t>:</w:t>
            </w:r>
          </w:p>
          <w:p w:rsidR="00011C0F" w:rsidRPr="00AE4A82" w:rsidRDefault="00DD6E97" w:rsidP="00011C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6E97">
              <w:rPr>
                <w:sz w:val="20"/>
                <w:szCs w:val="20"/>
                <w:highlight w:val="lightGray"/>
              </w:rPr>
              <w:t>Date of discharge is &lt;01/01/17</w:t>
            </w:r>
          </w:p>
          <w:p w:rsidR="00975414" w:rsidRPr="00AE4A82" w:rsidRDefault="00975414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Length of stay is &gt;120 days</w:t>
            </w:r>
          </w:p>
          <w:p w:rsidR="007357F8" w:rsidRPr="00AE4A82" w:rsidRDefault="007357F8" w:rsidP="007357F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 code from  Table 7.03 or 7.04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="00EC3DDF" w:rsidRPr="00AE4A82">
              <w:rPr>
                <w:sz w:val="20"/>
                <w:szCs w:val="20"/>
              </w:rPr>
              <w:t xml:space="preserve"> the principal diagnosis code and</w:t>
            </w:r>
            <w:r w:rsidRPr="00AE4A82">
              <w:rPr>
                <w:sz w:val="20"/>
                <w:szCs w:val="20"/>
              </w:rPr>
              <w:t xml:space="preserve">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</w:t>
            </w:r>
            <w:r w:rsidR="00E15CF9" w:rsidRPr="00AE4A82">
              <w:rPr>
                <w:sz w:val="20"/>
                <w:szCs w:val="20"/>
              </w:rPr>
              <w:t xml:space="preserve"> a secondary</w:t>
            </w:r>
            <w:r w:rsidRPr="00AE4A82">
              <w:rPr>
                <w:sz w:val="20"/>
                <w:szCs w:val="20"/>
              </w:rPr>
              <w:t xml:space="preserve"> diagnosis code</w:t>
            </w:r>
          </w:p>
          <w:p w:rsidR="00975414" w:rsidRPr="00AE4A82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7357F8" w:rsidRPr="00AE4A82" w:rsidRDefault="007357F8" w:rsidP="007357F8">
            <w:pPr>
              <w:numPr>
                <w:ilvl w:val="0"/>
                <w:numId w:val="1"/>
              </w:numPr>
            </w:pPr>
            <w:r w:rsidRPr="00AE4A82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7357F8" w:rsidRPr="00AE4A82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Discharge disposition is anything other than home, other healthcare facility or unable to be determined</w:t>
            </w:r>
          </w:p>
          <w:p w:rsidR="00F762AC" w:rsidRPr="00AE4A82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F762AC" w:rsidRPr="00AE4A82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VTE</w:t>
            </w:r>
            <w:r w:rsidR="00651535" w:rsidRPr="00AE4A82">
              <w:rPr>
                <w:sz w:val="20"/>
                <w:szCs w:val="20"/>
              </w:rPr>
              <w:t xml:space="preserve"> in one of the defined locations</w:t>
            </w:r>
            <w:r w:rsidRPr="00AE4A82">
              <w:rPr>
                <w:sz w:val="20"/>
                <w:szCs w:val="20"/>
              </w:rPr>
              <w:t xml:space="preserve"> confirmed by diagnostic testing</w:t>
            </w:r>
          </w:p>
          <w:p w:rsidR="00F762AC" w:rsidRPr="00AE4A82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who did not receive warfarin at any time after the positive diagnostic test for VTE</w:t>
            </w:r>
          </w:p>
          <w:p w:rsidR="005E4B48" w:rsidRPr="00AE4A82" w:rsidRDefault="005E4B48" w:rsidP="0097541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E4B48" w:rsidRPr="00AE4A82" w:rsidRDefault="00F762AC" w:rsidP="00F762AC">
            <w:pPr>
              <w:rPr>
                <w:sz w:val="20"/>
                <w:szCs w:val="20"/>
              </w:rPr>
            </w:pPr>
            <w:r w:rsidRPr="00EF27A5">
              <w:rPr>
                <w:b/>
                <w:sz w:val="20"/>
                <w:szCs w:val="20"/>
              </w:rPr>
              <w:t>Cases included in the denominator will pass if</w:t>
            </w:r>
            <w:r w:rsidRPr="00AE4A82">
              <w:rPr>
                <w:sz w:val="20"/>
                <w:szCs w:val="20"/>
              </w:rPr>
              <w:t>:</w:t>
            </w:r>
          </w:p>
          <w:p w:rsidR="00F762AC" w:rsidRPr="00AE4A82" w:rsidRDefault="00F762AC" w:rsidP="00F762A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There is </w:t>
            </w:r>
            <w:r w:rsidR="00EC3DDF" w:rsidRPr="00AE4A82">
              <w:rPr>
                <w:sz w:val="20"/>
                <w:szCs w:val="20"/>
              </w:rPr>
              <w:t>documentation</w:t>
            </w:r>
            <w:r w:rsidRPr="00AE4A82">
              <w:rPr>
                <w:sz w:val="20"/>
                <w:szCs w:val="20"/>
              </w:rPr>
              <w:t xml:space="preserve"> by the physician/APN/PA or pharmacist on the day of or the day </w:t>
            </w:r>
            <w:r w:rsidR="00EC3DDF" w:rsidRPr="00AE4A82">
              <w:rPr>
                <w:sz w:val="20"/>
                <w:szCs w:val="20"/>
              </w:rPr>
              <w:t>after the VTE diagnostic test of</w:t>
            </w:r>
            <w:r w:rsidRPr="00AE4A82">
              <w:rPr>
                <w:sz w:val="20"/>
                <w:szCs w:val="20"/>
              </w:rPr>
              <w:t xml:space="preserve"> a reason why overlap therapy (parenteral anticoagulation therapy and warfarin) was not administered</w:t>
            </w:r>
          </w:p>
          <w:p w:rsidR="00F762AC" w:rsidRPr="00AE4A82" w:rsidRDefault="00F762AC" w:rsidP="00F762AC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OR</w:t>
            </w:r>
          </w:p>
          <w:p w:rsidR="00DC441B" w:rsidRPr="00AE4A82" w:rsidRDefault="00DC441B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overlap therapy (parenteral anticoagulation therapy and warfarin) was administered and</w:t>
            </w:r>
          </w:p>
          <w:p w:rsidR="00F762AC" w:rsidRPr="00AE4A82" w:rsidRDefault="00F762AC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The first date</w:t>
            </w:r>
            <w:r w:rsidR="00DC441B" w:rsidRPr="00AE4A82">
              <w:rPr>
                <w:sz w:val="20"/>
                <w:szCs w:val="20"/>
              </w:rPr>
              <w:t xml:space="preserve"> and the last date</w:t>
            </w:r>
            <w:r w:rsidRPr="00AE4A82">
              <w:rPr>
                <w:sz w:val="20"/>
                <w:szCs w:val="20"/>
              </w:rPr>
              <w:t xml:space="preserve"> that a parenteral (IV or subcutaneous) anticoagulant medication and warfarin were both administered </w:t>
            </w:r>
            <w:r w:rsidR="00DC441B" w:rsidRPr="00AE4A82">
              <w:rPr>
                <w:sz w:val="20"/>
                <w:szCs w:val="20"/>
              </w:rPr>
              <w:t>are</w:t>
            </w:r>
            <w:r w:rsidRPr="00AE4A82">
              <w:rPr>
                <w:sz w:val="20"/>
                <w:szCs w:val="20"/>
              </w:rPr>
              <w:t xml:space="preserve"> valid date</w:t>
            </w:r>
            <w:r w:rsidR="00DC441B" w:rsidRPr="00AE4A82">
              <w:rPr>
                <w:sz w:val="20"/>
                <w:szCs w:val="20"/>
              </w:rPr>
              <w:t>s and one of the following</w:t>
            </w:r>
          </w:p>
          <w:p w:rsidR="00DC441B" w:rsidRPr="00AE4A82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overlap therapy was administered for &gt;=4 days and the INR result is &gt;=2 on the day of or the day after the last dose of parenteral anticoagulation therapy OR</w:t>
            </w:r>
          </w:p>
          <w:p w:rsidR="00EF43D4" w:rsidRPr="00AE4A82" w:rsidRDefault="00EF43D4" w:rsidP="00EF43D4">
            <w:pPr>
              <w:pStyle w:val="Default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4A82">
              <w:rPr>
                <w:rFonts w:ascii="Times New Roman" w:hAnsi="Times New Roman" w:cs="Times New Roman"/>
                <w:sz w:val="20"/>
                <w:szCs w:val="20"/>
              </w:rPr>
              <w:t xml:space="preserve">overlap therapy was administered for &lt;4 days and parenteral anticoagulation medications were prescribed at discharge or there is documentation of a reason for  discontinuation of parenteral anticoagulant therapy on the </w:t>
            </w:r>
            <w:r w:rsidRPr="00AE4A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same day or the day before </w:t>
            </w:r>
            <w:r w:rsidRPr="00AE4A82">
              <w:rPr>
                <w:rFonts w:ascii="Times New Roman" w:hAnsi="Times New Roman" w:cs="Times New Roman"/>
                <w:sz w:val="20"/>
                <w:szCs w:val="20"/>
              </w:rPr>
              <w:t>the order for the discontinuation OR</w:t>
            </w:r>
          </w:p>
          <w:p w:rsidR="00EF43D4" w:rsidRPr="00AE4A82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the INR result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&gt;=2 on the day of or the day after the last dose of parenteral anticoagulation therapy and parenteral anticoagulation medications were prescribed at discharge or there is documentation of a reason for  discontinuation of parenteral anticoagulant therapy on the </w:t>
            </w:r>
            <w:r w:rsidRPr="00AE4A82">
              <w:rPr>
                <w:bCs/>
                <w:sz w:val="20"/>
                <w:szCs w:val="20"/>
              </w:rPr>
              <w:t xml:space="preserve">same day or the day before </w:t>
            </w:r>
            <w:r w:rsidRPr="00AE4A82">
              <w:rPr>
                <w:sz w:val="20"/>
                <w:szCs w:val="20"/>
              </w:rPr>
              <w:t>the order for the discontinuation</w:t>
            </w:r>
          </w:p>
          <w:p w:rsidR="00EF43D4" w:rsidRPr="00AE4A82" w:rsidRDefault="00EF43D4" w:rsidP="007A6A1F">
            <w:pPr>
              <w:ind w:left="720"/>
              <w:rPr>
                <w:sz w:val="20"/>
                <w:szCs w:val="20"/>
              </w:rPr>
            </w:pPr>
          </w:p>
        </w:tc>
      </w:tr>
    </w:tbl>
    <w:p w:rsidR="008F0C62" w:rsidRPr="00AE4A82" w:rsidRDefault="008F0C62"/>
    <w:p w:rsidR="008F0C62" w:rsidRPr="00AE4A82" w:rsidRDefault="008F0C62"/>
    <w:p w:rsidR="008F0C62" w:rsidRPr="00AE4A82" w:rsidRDefault="008F0C62"/>
    <w:p w:rsidR="008F0C62" w:rsidRPr="00AE4A82" w:rsidRDefault="00176766">
      <w:r w:rsidRPr="00AE4A82">
        <w:br w:type="page"/>
      </w:r>
    </w:p>
    <w:p w:rsidR="008F0C62" w:rsidRPr="00AE4A82" w:rsidRDefault="008F0C62"/>
    <w:p w:rsidR="008F0C62" w:rsidRPr="00AE4A82" w:rsidRDefault="008F0C62"/>
    <w:p w:rsidR="00323779" w:rsidRPr="00AE4A82" w:rsidRDefault="00323779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323779" w:rsidRPr="00AE4A82">
        <w:tc>
          <w:tcPr>
            <w:tcW w:w="1368" w:type="dxa"/>
          </w:tcPr>
          <w:p w:rsidR="00323779" w:rsidRPr="00AE4A82" w:rsidRDefault="00323779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323779" w:rsidRPr="00AE4A82" w:rsidRDefault="00323779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323779" w:rsidRPr="00AE4A82" w:rsidRDefault="00323779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323779" w:rsidRPr="00AE4A82" w:rsidRDefault="00323779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AE4A82">
        <w:tc>
          <w:tcPr>
            <w:tcW w:w="1368" w:type="dxa"/>
          </w:tcPr>
          <w:p w:rsidR="009923C1" w:rsidRPr="00AE4A82" w:rsidRDefault="00BC7B9B">
            <w:pPr>
              <w:rPr>
                <w:b/>
                <w:i/>
                <w:sz w:val="20"/>
                <w:szCs w:val="20"/>
              </w:rPr>
            </w:pPr>
            <w:r w:rsidRPr="00AE4A82">
              <w:rPr>
                <w:b/>
                <w:i/>
                <w:sz w:val="20"/>
                <w:szCs w:val="20"/>
              </w:rPr>
              <w:t>vte5</w:t>
            </w:r>
          </w:p>
        </w:tc>
        <w:tc>
          <w:tcPr>
            <w:tcW w:w="3240" w:type="dxa"/>
          </w:tcPr>
          <w:p w:rsidR="009923C1" w:rsidRPr="00AE4A82" w:rsidRDefault="00BC7B9B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bCs/>
                <w:i/>
                <w:sz w:val="22"/>
                <w:szCs w:val="22"/>
              </w:rPr>
              <w:t>VTE patients discharged on warfarin given discharge instructions</w:t>
            </w:r>
          </w:p>
        </w:tc>
        <w:tc>
          <w:tcPr>
            <w:tcW w:w="4140" w:type="dxa"/>
          </w:tcPr>
          <w:p w:rsidR="00323779" w:rsidRPr="00AE4A82" w:rsidRDefault="00323779" w:rsidP="00323779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All cases are included </w:t>
            </w:r>
            <w:r w:rsidRPr="00EF27A5">
              <w:rPr>
                <w:b/>
                <w:sz w:val="20"/>
                <w:szCs w:val="20"/>
                <w:u w:val="single"/>
              </w:rPr>
              <w:t>excep</w:t>
            </w:r>
            <w:r w:rsidRPr="00EF27A5">
              <w:rPr>
                <w:b/>
                <w:sz w:val="20"/>
                <w:szCs w:val="20"/>
              </w:rPr>
              <w:t>t</w:t>
            </w:r>
            <w:r w:rsidRPr="00AE4A82">
              <w:rPr>
                <w:sz w:val="20"/>
                <w:szCs w:val="20"/>
              </w:rPr>
              <w:t>:</w:t>
            </w:r>
          </w:p>
          <w:p w:rsidR="00DD6E97" w:rsidRPr="00AE4A82" w:rsidRDefault="00DD6E97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6E97">
              <w:rPr>
                <w:sz w:val="20"/>
                <w:szCs w:val="20"/>
                <w:highlight w:val="lightGray"/>
              </w:rPr>
              <w:t>Date of discharge is &lt;01/01/17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Length of stay is &gt;120 days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 code from  Table 7.03 or 7.04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the principal diagnosis code </w:t>
            </w:r>
            <w:r w:rsidR="00073EC9" w:rsidRPr="00AE4A82">
              <w:rPr>
                <w:sz w:val="20"/>
                <w:szCs w:val="20"/>
              </w:rPr>
              <w:t xml:space="preserve">and </w:t>
            </w:r>
            <w:r w:rsidRPr="00AE4A82">
              <w:rPr>
                <w:sz w:val="20"/>
                <w:szCs w:val="20"/>
              </w:rPr>
              <w:t xml:space="preserve">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 a secondary diagnosis code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</w:pPr>
            <w:r w:rsidRPr="00AE4A82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Discharge disposition is anything other than home, home hospice or unable to be determined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warfarin prescribed at discharge</w:t>
            </w:r>
          </w:p>
          <w:p w:rsidR="005F582E" w:rsidRPr="00AE4A82" w:rsidRDefault="005F582E" w:rsidP="00323779"/>
        </w:tc>
        <w:tc>
          <w:tcPr>
            <w:tcW w:w="5400" w:type="dxa"/>
          </w:tcPr>
          <w:p w:rsidR="00917023" w:rsidRPr="00EF27A5" w:rsidRDefault="00917023" w:rsidP="00917023">
            <w:pPr>
              <w:rPr>
                <w:b/>
                <w:sz w:val="20"/>
                <w:szCs w:val="20"/>
              </w:rPr>
            </w:pPr>
            <w:r w:rsidRPr="00EF27A5">
              <w:rPr>
                <w:b/>
                <w:sz w:val="20"/>
                <w:szCs w:val="20"/>
              </w:rPr>
              <w:t>Cases included in the denominator will pass if:</w:t>
            </w:r>
          </w:p>
          <w:p w:rsidR="00917023" w:rsidRPr="00AE4A82" w:rsidRDefault="00917023" w:rsidP="00917023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who were prescribed warfarin at discharge received written discharge instructions that address all of the following components related to warfarin therapy prescribed after discharge:</w:t>
            </w:r>
          </w:p>
          <w:p w:rsidR="00917023" w:rsidRPr="00AE4A82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compliance issues </w:t>
            </w:r>
          </w:p>
          <w:p w:rsidR="00917023" w:rsidRPr="00AE4A82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dietary advice </w:t>
            </w:r>
          </w:p>
          <w:p w:rsidR="00917023" w:rsidRPr="00AE4A82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follow-up monitoring </w:t>
            </w:r>
          </w:p>
          <w:p w:rsidR="00917023" w:rsidRPr="00AE4A82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potential for adverse drug reactions and interactions </w:t>
            </w:r>
          </w:p>
        </w:tc>
      </w:tr>
    </w:tbl>
    <w:p w:rsidR="00097EFA" w:rsidRPr="00AE4A82" w:rsidRDefault="00097EFA">
      <w:r w:rsidRPr="00AE4A8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AE4A82">
        <w:tc>
          <w:tcPr>
            <w:tcW w:w="1368" w:type="dxa"/>
          </w:tcPr>
          <w:p w:rsidR="00097EFA" w:rsidRPr="00AE4A82" w:rsidRDefault="00097EFA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097EFA" w:rsidRPr="00AE4A82" w:rsidRDefault="00097EFA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AE4A82" w:rsidRDefault="00097EFA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AE4A82" w:rsidRDefault="00097EFA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AE4A82" w:rsidRDefault="00BC7B9B">
            <w:pPr>
              <w:rPr>
                <w:b/>
                <w:i/>
                <w:sz w:val="20"/>
                <w:szCs w:val="20"/>
              </w:rPr>
            </w:pPr>
            <w:r w:rsidRPr="00AE4A82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AE4A82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AE4A82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AE4A82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AE4A82" w:rsidRDefault="0098774C" w:rsidP="0078543C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AE4A82" w:rsidRDefault="00D636C4" w:rsidP="00D636C4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All cases are included </w:t>
            </w:r>
            <w:r w:rsidRPr="00EF27A5">
              <w:rPr>
                <w:b/>
                <w:sz w:val="20"/>
                <w:szCs w:val="20"/>
                <w:u w:val="single"/>
              </w:rPr>
              <w:t>excep</w:t>
            </w:r>
            <w:r w:rsidRPr="00EF27A5">
              <w:rPr>
                <w:b/>
                <w:sz w:val="20"/>
                <w:szCs w:val="20"/>
              </w:rPr>
              <w:t>t</w:t>
            </w:r>
            <w:r w:rsidRPr="00AE4A82">
              <w:rPr>
                <w:sz w:val="20"/>
                <w:szCs w:val="20"/>
              </w:rPr>
              <w:t>:</w:t>
            </w:r>
          </w:p>
          <w:p w:rsidR="00DD6E97" w:rsidRPr="00AE4A82" w:rsidRDefault="00DD6E97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6E97">
              <w:rPr>
                <w:sz w:val="20"/>
                <w:szCs w:val="20"/>
                <w:highlight w:val="lightGray"/>
              </w:rPr>
              <w:t>Date of discharge is &lt;01/01/17</w:t>
            </w:r>
          </w:p>
          <w:p w:rsidR="00D636C4" w:rsidRPr="00AE4A82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AE4A82">
              <w:rPr>
                <w:sz w:val="20"/>
                <w:szCs w:val="20"/>
              </w:rPr>
              <w:t>Length of stay is &gt;120 days</w:t>
            </w:r>
          </w:p>
          <w:p w:rsidR="004317CD" w:rsidRPr="00AE4A82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AE4A82" w:rsidRDefault="00D636C4" w:rsidP="004317CD">
            <w:pPr>
              <w:ind w:left="360"/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 the principal diagnosis code</w:t>
            </w:r>
          </w:p>
          <w:p w:rsidR="00D636C4" w:rsidRPr="00AE4A82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 </w:t>
            </w:r>
            <w:r w:rsidR="004317CD" w:rsidRPr="00AE4A82">
              <w:rPr>
                <w:sz w:val="20"/>
                <w:szCs w:val="20"/>
              </w:rPr>
              <w:t>A code from  Table 7.03 or 7.04</w:t>
            </w:r>
            <w:r w:rsidRPr="00AE4A82">
              <w:rPr>
                <w:sz w:val="20"/>
                <w:szCs w:val="20"/>
              </w:rPr>
              <w:t xml:space="preserve">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 a secondary diagnosis code</w:t>
            </w:r>
          </w:p>
          <w:p w:rsidR="004317CD" w:rsidRPr="00AE4A82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AE4A82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AE4A82" w:rsidRDefault="004317CD" w:rsidP="004317CD">
            <w:pPr>
              <w:numPr>
                <w:ilvl w:val="0"/>
                <w:numId w:val="1"/>
              </w:numPr>
            </w:pPr>
            <w:r w:rsidRPr="00AE4A82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AE4A82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AE4A82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AE4A82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AE4A82">
              <w:rPr>
                <w:sz w:val="20"/>
                <w:szCs w:val="20"/>
              </w:rPr>
              <w:t>between arrival</w:t>
            </w:r>
            <w:r w:rsidRPr="00AE4A82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AE4A82" w:rsidRDefault="0098774C" w:rsidP="0098774C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Case included in the denominator will pass if:</w:t>
            </w:r>
          </w:p>
          <w:p w:rsidR="0098774C" w:rsidRPr="00AE4A82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Mechanical and/or pharmacologic VTE prophylaxis was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administered any time </w:t>
            </w:r>
            <w:r w:rsidR="00F65486" w:rsidRPr="00AE4A82">
              <w:rPr>
                <w:sz w:val="20"/>
                <w:szCs w:val="20"/>
              </w:rPr>
              <w:t>between</w:t>
            </w:r>
            <w:r w:rsidRPr="00AE4A82">
              <w:rPr>
                <w:sz w:val="20"/>
                <w:szCs w:val="20"/>
              </w:rPr>
              <w:t xml:space="preserve"> the</w:t>
            </w:r>
            <w:r w:rsidR="00F65486" w:rsidRPr="00AE4A82">
              <w:rPr>
                <w:sz w:val="20"/>
                <w:szCs w:val="20"/>
              </w:rPr>
              <w:t xml:space="preserve"> hospital</w:t>
            </w:r>
            <w:r w:rsidRPr="00AE4A82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D6E97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A56873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12/22/</w:t>
    </w:r>
    <w:r w:rsidR="0089616E">
      <w:rPr>
        <w:sz w:val="20"/>
        <w:szCs w:val="2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A56873">
      <w:rPr>
        <w:b/>
      </w:rPr>
      <w:t>2</w:t>
    </w:r>
    <w:r w:rsidR="00B66139" w:rsidRPr="00577BCE">
      <w:rPr>
        <w:b/>
      </w:rPr>
      <w:t>QFY20</w:t>
    </w:r>
    <w:r w:rsidR="00AE4A82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7813"/>
    <w:rsid w:val="00134BBD"/>
    <w:rsid w:val="00137006"/>
    <w:rsid w:val="00145AC4"/>
    <w:rsid w:val="00151A11"/>
    <w:rsid w:val="001553F5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53B0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75414"/>
    <w:rsid w:val="00977563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499A-AC03-4E83-9AD2-49ABCBF8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2016-12-22T13:35:00Z</dcterms:created>
  <dcterms:modified xsi:type="dcterms:W3CDTF">2016-12-22T13:39:00Z</dcterms:modified>
</cp:coreProperties>
</file>